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501" w:rsidRPr="001E646B" w:rsidRDefault="008F15F2" w:rsidP="00996EF8">
      <w:pPr>
        <w:jc w:val="both"/>
        <w:rPr>
          <w:rFonts w:ascii="Times New Roman" w:hAnsi="Times New Roman" w:cs="Times New Roman"/>
          <w:sz w:val="28"/>
          <w:szCs w:val="28"/>
        </w:rPr>
      </w:pPr>
      <w:r>
        <w:rPr>
          <w:rFonts w:ascii="Times New Roman" w:hAnsi="Times New Roman" w:cs="Times New Roman"/>
          <w:b/>
          <w:sz w:val="28"/>
          <w:szCs w:val="28"/>
        </w:rPr>
        <w:t>Art. 566</w:t>
      </w:r>
    </w:p>
    <w:p w:rsidR="00A87EFC" w:rsidRDefault="003067DD" w:rsidP="003067D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Con riguardo all</w:t>
      </w:r>
      <w:r w:rsidR="00CC6747">
        <w:rPr>
          <w:rFonts w:ascii="Times New Roman" w:hAnsi="Times New Roman" w:cs="Times New Roman"/>
          <w:sz w:val="28"/>
          <w:szCs w:val="28"/>
        </w:rPr>
        <w:t>’</w:t>
      </w:r>
      <w:r>
        <w:rPr>
          <w:rFonts w:ascii="Times New Roman" w:hAnsi="Times New Roman" w:cs="Times New Roman"/>
          <w:sz w:val="28"/>
          <w:szCs w:val="28"/>
        </w:rPr>
        <w:t>espropriazione mobiliare occorre far riferimento all</w:t>
      </w:r>
      <w:r w:rsidR="00CC6747">
        <w:rPr>
          <w:rFonts w:ascii="Times New Roman" w:hAnsi="Times New Roman" w:cs="Times New Roman"/>
          <w:sz w:val="28"/>
          <w:szCs w:val="28"/>
        </w:rPr>
        <w:t>’</w:t>
      </w:r>
      <w:r>
        <w:rPr>
          <w:rFonts w:ascii="Times New Roman" w:hAnsi="Times New Roman" w:cs="Times New Roman"/>
          <w:sz w:val="28"/>
          <w:szCs w:val="28"/>
        </w:rPr>
        <w:t>art. 528.</w:t>
      </w:r>
    </w:p>
    <w:p w:rsidR="003067DD" w:rsidRDefault="003067DD" w:rsidP="003067DD">
      <w:pPr>
        <w:spacing w:after="0" w:line="240" w:lineRule="auto"/>
        <w:jc w:val="both"/>
        <w:rPr>
          <w:rFonts w:ascii="Times New Roman" w:hAnsi="Times New Roman" w:cs="Times New Roman"/>
          <w:sz w:val="28"/>
          <w:szCs w:val="28"/>
        </w:rPr>
      </w:pPr>
      <w:r w:rsidRPr="00CC6747">
        <w:rPr>
          <w:rFonts w:ascii="Times New Roman" w:hAnsi="Times New Roman" w:cs="Times New Roman"/>
          <w:b/>
          <w:sz w:val="28"/>
          <w:szCs w:val="28"/>
        </w:rPr>
        <w:t>L</w:t>
      </w:r>
      <w:r w:rsidR="00CC6747">
        <w:rPr>
          <w:rFonts w:ascii="Times New Roman" w:hAnsi="Times New Roman" w:cs="Times New Roman"/>
          <w:b/>
          <w:sz w:val="28"/>
          <w:szCs w:val="28"/>
        </w:rPr>
        <w:t>’</w:t>
      </w:r>
      <w:r w:rsidRPr="00CC6747">
        <w:rPr>
          <w:rFonts w:ascii="Times New Roman" w:hAnsi="Times New Roman" w:cs="Times New Roman"/>
          <w:b/>
          <w:sz w:val="28"/>
          <w:szCs w:val="28"/>
        </w:rPr>
        <w:t>intervento dei </w:t>
      </w:r>
      <w:r w:rsidRPr="00CC6747">
        <w:rPr>
          <w:rFonts w:ascii="Times New Roman" w:hAnsi="Times New Roman" w:cs="Times New Roman"/>
          <w:b/>
          <w:bCs/>
          <w:sz w:val="28"/>
          <w:szCs w:val="28"/>
        </w:rPr>
        <w:t>creditori iscritti</w:t>
      </w:r>
      <w:r w:rsidRPr="00CC6747">
        <w:rPr>
          <w:rFonts w:ascii="Times New Roman" w:hAnsi="Times New Roman" w:cs="Times New Roman"/>
          <w:b/>
          <w:sz w:val="28"/>
          <w:szCs w:val="28"/>
        </w:rPr>
        <w:t> o </w:t>
      </w:r>
      <w:r w:rsidRPr="00CC6747">
        <w:rPr>
          <w:rFonts w:ascii="Times New Roman" w:hAnsi="Times New Roman" w:cs="Times New Roman"/>
          <w:b/>
          <w:bCs/>
          <w:sz w:val="28"/>
          <w:szCs w:val="28"/>
        </w:rPr>
        <w:t>privilegiati</w:t>
      </w:r>
      <w:r w:rsidRPr="003067DD">
        <w:rPr>
          <w:rFonts w:ascii="Times New Roman" w:hAnsi="Times New Roman" w:cs="Times New Roman"/>
          <w:sz w:val="28"/>
          <w:szCs w:val="28"/>
        </w:rPr>
        <w:t xml:space="preserve">, purché </w:t>
      </w:r>
      <w:r>
        <w:rPr>
          <w:rFonts w:ascii="Times New Roman" w:hAnsi="Times New Roman" w:cs="Times New Roman"/>
          <w:sz w:val="28"/>
          <w:szCs w:val="28"/>
        </w:rPr>
        <w:t>effettuato</w:t>
      </w:r>
      <w:r w:rsidRPr="003067DD">
        <w:rPr>
          <w:rFonts w:ascii="Times New Roman" w:hAnsi="Times New Roman" w:cs="Times New Roman"/>
          <w:sz w:val="28"/>
          <w:szCs w:val="28"/>
        </w:rPr>
        <w:t> </w:t>
      </w:r>
      <w:r w:rsidRPr="003067DD">
        <w:rPr>
          <w:rFonts w:ascii="Times New Roman" w:hAnsi="Times New Roman" w:cs="Times New Roman"/>
          <w:bCs/>
          <w:sz w:val="28"/>
          <w:szCs w:val="28"/>
        </w:rPr>
        <w:t>prima</w:t>
      </w:r>
      <w:r w:rsidRPr="003067DD">
        <w:rPr>
          <w:rFonts w:ascii="Times New Roman" w:hAnsi="Times New Roman" w:cs="Times New Roman"/>
          <w:sz w:val="28"/>
          <w:szCs w:val="28"/>
        </w:rPr>
        <w:t> dell</w:t>
      </w:r>
      <w:r w:rsidR="00CC6747">
        <w:rPr>
          <w:rFonts w:ascii="Times New Roman" w:hAnsi="Times New Roman" w:cs="Times New Roman"/>
          <w:sz w:val="28"/>
          <w:szCs w:val="28"/>
        </w:rPr>
        <w:t>’</w:t>
      </w:r>
      <w:r w:rsidRPr="003067DD">
        <w:rPr>
          <w:rFonts w:ascii="Times New Roman" w:hAnsi="Times New Roman" w:cs="Times New Roman"/>
          <w:sz w:val="28"/>
          <w:szCs w:val="28"/>
        </w:rPr>
        <w:t>udienza di approvazione del progetto di distribuzione di cui all</w:t>
      </w:r>
      <w:r w:rsidR="00CC6747">
        <w:rPr>
          <w:rFonts w:ascii="Times New Roman" w:hAnsi="Times New Roman" w:cs="Times New Roman"/>
          <w:sz w:val="28"/>
          <w:szCs w:val="28"/>
        </w:rPr>
        <w:t>’</w:t>
      </w:r>
      <w:hyperlink r:id="rId5" w:history="1">
        <w:r w:rsidRPr="003067DD">
          <w:rPr>
            <w:rStyle w:val="Collegamentoipertestuale"/>
            <w:rFonts w:ascii="Times New Roman" w:hAnsi="Times New Roman" w:cs="Times New Roman"/>
            <w:color w:val="auto"/>
            <w:sz w:val="28"/>
            <w:szCs w:val="28"/>
            <w:u w:val="none"/>
          </w:rPr>
          <w:t>art. 596</w:t>
        </w:r>
      </w:hyperlink>
      <w:r w:rsidRPr="003067DD">
        <w:rPr>
          <w:rFonts w:ascii="Times New Roman" w:hAnsi="Times New Roman" w:cs="Times New Roman"/>
          <w:sz w:val="28"/>
          <w:szCs w:val="28"/>
        </w:rPr>
        <w:t>, non preg</w:t>
      </w:r>
      <w:r w:rsidR="00864825">
        <w:rPr>
          <w:rFonts w:ascii="Times New Roman" w:hAnsi="Times New Roman" w:cs="Times New Roman"/>
          <w:sz w:val="28"/>
          <w:szCs w:val="28"/>
        </w:rPr>
        <w:t xml:space="preserve">iudica i diritti di </w:t>
      </w:r>
      <w:r w:rsidR="00864825" w:rsidRPr="00CC6747">
        <w:rPr>
          <w:rFonts w:ascii="Times New Roman" w:hAnsi="Times New Roman" w:cs="Times New Roman"/>
          <w:b/>
          <w:sz w:val="28"/>
          <w:szCs w:val="28"/>
        </w:rPr>
        <w:t>prelazione</w:t>
      </w:r>
      <w:r w:rsidR="00864825">
        <w:rPr>
          <w:rFonts w:ascii="Times New Roman" w:hAnsi="Times New Roman" w:cs="Times New Roman"/>
          <w:sz w:val="28"/>
          <w:szCs w:val="28"/>
        </w:rPr>
        <w:t xml:space="preserve">; </w:t>
      </w:r>
      <w:r w:rsidRPr="003067DD">
        <w:rPr>
          <w:rFonts w:ascii="Times New Roman" w:hAnsi="Times New Roman" w:cs="Times New Roman"/>
          <w:sz w:val="28"/>
          <w:szCs w:val="28"/>
        </w:rPr>
        <w:t>a differenza dei creditori chirografari, il cui intervento è tardivo se ha luogo oltre l</w:t>
      </w:r>
      <w:r w:rsidR="00CC6747">
        <w:rPr>
          <w:rFonts w:ascii="Times New Roman" w:hAnsi="Times New Roman" w:cs="Times New Roman"/>
          <w:sz w:val="28"/>
          <w:szCs w:val="28"/>
        </w:rPr>
        <w:t>’</w:t>
      </w:r>
      <w:r w:rsidRPr="003067DD">
        <w:rPr>
          <w:rFonts w:ascii="Times New Roman" w:hAnsi="Times New Roman" w:cs="Times New Roman"/>
          <w:sz w:val="28"/>
          <w:szCs w:val="28"/>
        </w:rPr>
        <w:t>udienza indicata nell</w:t>
      </w:r>
      <w:r w:rsidR="00CC6747">
        <w:rPr>
          <w:rFonts w:ascii="Times New Roman" w:hAnsi="Times New Roman" w:cs="Times New Roman"/>
          <w:sz w:val="28"/>
          <w:szCs w:val="28"/>
        </w:rPr>
        <w:t>’</w:t>
      </w:r>
      <w:hyperlink r:id="rId6" w:history="1">
        <w:r w:rsidRPr="003067DD">
          <w:rPr>
            <w:rStyle w:val="Collegamentoipertestuale"/>
            <w:rFonts w:ascii="Times New Roman" w:hAnsi="Times New Roman" w:cs="Times New Roman"/>
            <w:color w:val="auto"/>
            <w:sz w:val="28"/>
            <w:szCs w:val="28"/>
            <w:u w:val="none"/>
          </w:rPr>
          <w:t>art. 564</w:t>
        </w:r>
      </w:hyperlink>
      <w:r w:rsidR="00864825">
        <w:rPr>
          <w:rFonts w:ascii="Times New Roman" w:hAnsi="Times New Roman" w:cs="Times New Roman"/>
          <w:sz w:val="28"/>
          <w:szCs w:val="28"/>
        </w:rPr>
        <w:t xml:space="preserve"> </w:t>
      </w:r>
      <w:r w:rsidR="00864825" w:rsidRPr="00A87EFC">
        <w:rPr>
          <w:rFonts w:ascii="Times New Roman" w:hAnsi="Times New Roman" w:cs="Times New Roman"/>
          <w:sz w:val="28"/>
          <w:szCs w:val="28"/>
        </w:rPr>
        <w:t>→</w:t>
      </w:r>
      <w:r w:rsidR="00864825" w:rsidRPr="003067DD">
        <w:rPr>
          <w:rFonts w:ascii="Times New Roman" w:hAnsi="Times New Roman" w:cs="Times New Roman"/>
          <w:sz w:val="28"/>
          <w:szCs w:val="28"/>
        </w:rPr>
        <w:t xml:space="preserve"> </w:t>
      </w:r>
      <w:hyperlink r:id="rId7" w:history="1">
        <w:r w:rsidRPr="003067DD">
          <w:rPr>
            <w:rStyle w:val="Collegamentoipertestuale"/>
            <w:rFonts w:ascii="Times New Roman" w:hAnsi="Times New Roman" w:cs="Times New Roman"/>
            <w:color w:val="auto"/>
            <w:sz w:val="28"/>
            <w:szCs w:val="28"/>
            <w:u w:val="none"/>
          </w:rPr>
          <w:t>art. 565</w:t>
        </w:r>
      </w:hyperlink>
      <w:r w:rsidRPr="003067DD">
        <w:rPr>
          <w:rFonts w:ascii="Times New Roman" w:hAnsi="Times New Roman" w:cs="Times New Roman"/>
          <w:sz w:val="28"/>
          <w:szCs w:val="28"/>
        </w:rPr>
        <w:t>, i creditori iscritti e quelli privilegiati che nell</w:t>
      </w:r>
      <w:r w:rsidR="00CC6747">
        <w:rPr>
          <w:rFonts w:ascii="Times New Roman" w:hAnsi="Times New Roman" w:cs="Times New Roman"/>
          <w:sz w:val="28"/>
          <w:szCs w:val="28"/>
        </w:rPr>
        <w:t>’</w:t>
      </w:r>
      <w:r w:rsidRPr="003067DD">
        <w:rPr>
          <w:rFonts w:ascii="Times New Roman" w:hAnsi="Times New Roman" w:cs="Times New Roman"/>
          <w:sz w:val="28"/>
          <w:szCs w:val="28"/>
        </w:rPr>
        <w:t>espropriazione immobiliare intervengono entro l</w:t>
      </w:r>
      <w:r w:rsidR="00CC6747">
        <w:rPr>
          <w:rFonts w:ascii="Times New Roman" w:hAnsi="Times New Roman" w:cs="Times New Roman"/>
          <w:sz w:val="28"/>
          <w:szCs w:val="28"/>
        </w:rPr>
        <w:t>’</w:t>
      </w:r>
      <w:r w:rsidRPr="003067DD">
        <w:rPr>
          <w:rFonts w:ascii="Times New Roman" w:hAnsi="Times New Roman" w:cs="Times New Roman"/>
          <w:sz w:val="28"/>
          <w:szCs w:val="28"/>
        </w:rPr>
        <w:t>udienza </w:t>
      </w:r>
      <w:r w:rsidRPr="003067DD">
        <w:rPr>
          <w:rFonts w:ascii="Times New Roman" w:hAnsi="Times New Roman" w:cs="Times New Roman"/>
          <w:i/>
          <w:iCs/>
          <w:sz w:val="28"/>
          <w:szCs w:val="28"/>
        </w:rPr>
        <w:t>ex </w:t>
      </w:r>
      <w:hyperlink r:id="rId8" w:history="1">
        <w:r w:rsidRPr="003067DD">
          <w:rPr>
            <w:rStyle w:val="Collegamentoipertestuale"/>
            <w:rFonts w:ascii="Times New Roman" w:hAnsi="Times New Roman" w:cs="Times New Roman"/>
            <w:color w:val="auto"/>
            <w:sz w:val="28"/>
            <w:szCs w:val="28"/>
            <w:u w:val="none"/>
          </w:rPr>
          <w:t>art. 596</w:t>
        </w:r>
      </w:hyperlink>
      <w:r w:rsidR="00864825">
        <w:rPr>
          <w:rFonts w:ascii="Times New Roman" w:hAnsi="Times New Roman" w:cs="Times New Roman"/>
          <w:sz w:val="28"/>
          <w:szCs w:val="28"/>
        </w:rPr>
        <w:t>,</w:t>
      </w:r>
      <w:r w:rsidRPr="003067DD">
        <w:rPr>
          <w:rFonts w:ascii="Times New Roman" w:hAnsi="Times New Roman" w:cs="Times New Roman"/>
          <w:sz w:val="28"/>
          <w:szCs w:val="28"/>
        </w:rPr>
        <w:t> spiegano intervento tempestivo</w:t>
      </w:r>
      <w:r w:rsidR="00864825">
        <w:rPr>
          <w:rFonts w:ascii="Times New Roman" w:hAnsi="Times New Roman" w:cs="Times New Roman"/>
          <w:sz w:val="28"/>
          <w:szCs w:val="28"/>
        </w:rPr>
        <w:t>.</w:t>
      </w:r>
    </w:p>
    <w:p w:rsidR="00864825" w:rsidRDefault="00864825" w:rsidP="003067DD">
      <w:pPr>
        <w:spacing w:after="0" w:line="240" w:lineRule="auto"/>
        <w:jc w:val="both"/>
        <w:rPr>
          <w:rFonts w:ascii="Times New Roman" w:hAnsi="Times New Roman" w:cs="Times New Roman"/>
          <w:sz w:val="28"/>
          <w:szCs w:val="28"/>
        </w:rPr>
      </w:pPr>
      <w:r w:rsidRPr="00864825">
        <w:rPr>
          <w:rFonts w:ascii="Times New Roman" w:hAnsi="Times New Roman" w:cs="Times New Roman"/>
          <w:sz w:val="28"/>
          <w:szCs w:val="28"/>
        </w:rPr>
        <w:t>Sono cr</w:t>
      </w:r>
      <w:r w:rsidRPr="00864825">
        <w:rPr>
          <w:rFonts w:ascii="Times New Roman" w:hAnsi="Times New Roman" w:cs="Times New Roman"/>
          <w:bCs/>
          <w:sz w:val="28"/>
          <w:szCs w:val="28"/>
        </w:rPr>
        <w:t>editori iscritti</w:t>
      </w:r>
      <w:r w:rsidRPr="00864825">
        <w:rPr>
          <w:rFonts w:ascii="Times New Roman" w:hAnsi="Times New Roman" w:cs="Times New Roman"/>
          <w:sz w:val="28"/>
          <w:szCs w:val="28"/>
        </w:rPr>
        <w:t xml:space="preserve"> </w:t>
      </w:r>
      <w:r w:rsidR="00CC6747">
        <w:rPr>
          <w:rFonts w:ascii="Times New Roman" w:hAnsi="Times New Roman" w:cs="Times New Roman"/>
          <w:sz w:val="28"/>
          <w:szCs w:val="28"/>
        </w:rPr>
        <w:t xml:space="preserve">quelli ipotecari; rileva anche la titolarità di un privilegio </w:t>
      </w:r>
      <w:r w:rsidR="00CC6747" w:rsidRPr="00A87EFC">
        <w:rPr>
          <w:rFonts w:ascii="Times New Roman" w:hAnsi="Times New Roman" w:cs="Times New Roman"/>
          <w:sz w:val="28"/>
          <w:szCs w:val="28"/>
        </w:rPr>
        <w:t>→</w:t>
      </w:r>
      <w:r w:rsidR="00CC6747">
        <w:rPr>
          <w:rFonts w:ascii="Times New Roman" w:hAnsi="Times New Roman" w:cs="Times New Roman"/>
          <w:sz w:val="28"/>
          <w:szCs w:val="28"/>
        </w:rPr>
        <w:t xml:space="preserve"> art. 2770 ss. c.c. </w:t>
      </w:r>
      <w:r>
        <w:rPr>
          <w:rFonts w:ascii="Times New Roman" w:hAnsi="Times New Roman" w:cs="Times New Roman"/>
          <w:sz w:val="28"/>
          <w:szCs w:val="28"/>
        </w:rPr>
        <w:t>Questi</w:t>
      </w:r>
      <w:r w:rsidRPr="00864825">
        <w:rPr>
          <w:rFonts w:ascii="Times New Roman" w:hAnsi="Times New Roman" w:cs="Times New Roman"/>
          <w:sz w:val="28"/>
          <w:szCs w:val="28"/>
        </w:rPr>
        <w:t xml:space="preserve"> creditori, se intervengono prima dell</w:t>
      </w:r>
      <w:r w:rsidR="00CC6747">
        <w:rPr>
          <w:rFonts w:ascii="Times New Roman" w:hAnsi="Times New Roman" w:cs="Times New Roman"/>
          <w:sz w:val="28"/>
          <w:szCs w:val="28"/>
        </w:rPr>
        <w:t>’</w:t>
      </w:r>
      <w:r w:rsidRPr="00864825">
        <w:rPr>
          <w:rFonts w:ascii="Times New Roman" w:hAnsi="Times New Roman" w:cs="Times New Roman"/>
          <w:sz w:val="28"/>
          <w:szCs w:val="28"/>
        </w:rPr>
        <w:t>udienza </w:t>
      </w:r>
      <w:r w:rsidRPr="00864825">
        <w:rPr>
          <w:rFonts w:ascii="Times New Roman" w:hAnsi="Times New Roman" w:cs="Times New Roman"/>
          <w:i/>
          <w:iCs/>
          <w:sz w:val="28"/>
          <w:szCs w:val="28"/>
        </w:rPr>
        <w:t>ex </w:t>
      </w:r>
      <w:hyperlink r:id="rId9" w:history="1">
        <w:r w:rsidRPr="00864825">
          <w:rPr>
            <w:rStyle w:val="Collegamentoipertestuale"/>
            <w:rFonts w:ascii="Times New Roman" w:hAnsi="Times New Roman" w:cs="Times New Roman"/>
            <w:color w:val="auto"/>
            <w:sz w:val="28"/>
            <w:szCs w:val="28"/>
            <w:u w:val="none"/>
          </w:rPr>
          <w:t>art. 596</w:t>
        </w:r>
      </w:hyperlink>
      <w:r w:rsidRPr="00864825">
        <w:rPr>
          <w:rFonts w:ascii="Times New Roman" w:hAnsi="Times New Roman" w:cs="Times New Roman"/>
          <w:sz w:val="28"/>
          <w:szCs w:val="28"/>
        </w:rPr>
        <w:t>, </w:t>
      </w:r>
      <w:r w:rsidRPr="00864825">
        <w:rPr>
          <w:rFonts w:ascii="Times New Roman" w:hAnsi="Times New Roman" w:cs="Times New Roman"/>
          <w:bCs/>
          <w:sz w:val="28"/>
          <w:szCs w:val="28"/>
        </w:rPr>
        <w:t>concorrono</w:t>
      </w:r>
      <w:r w:rsidRPr="00864825">
        <w:rPr>
          <w:rFonts w:ascii="Times New Roman" w:hAnsi="Times New Roman" w:cs="Times New Roman"/>
          <w:sz w:val="28"/>
          <w:szCs w:val="28"/>
        </w:rPr>
        <w:t> alla distribuzione della somma ricavata </w:t>
      </w:r>
      <w:r w:rsidRPr="00864825">
        <w:rPr>
          <w:rFonts w:ascii="Times New Roman" w:hAnsi="Times New Roman" w:cs="Times New Roman"/>
          <w:bCs/>
          <w:sz w:val="28"/>
          <w:szCs w:val="28"/>
        </w:rPr>
        <w:t>in ragione dei loro diritti di prelazione</w:t>
      </w:r>
      <w:r>
        <w:rPr>
          <w:rFonts w:ascii="Times New Roman" w:hAnsi="Times New Roman" w:cs="Times New Roman"/>
          <w:sz w:val="28"/>
          <w:szCs w:val="28"/>
        </w:rPr>
        <w:t>, sicché</w:t>
      </w:r>
      <w:r w:rsidRPr="00864825">
        <w:rPr>
          <w:rFonts w:ascii="Times New Roman" w:hAnsi="Times New Roman" w:cs="Times New Roman"/>
          <w:sz w:val="28"/>
          <w:szCs w:val="28"/>
        </w:rPr>
        <w:t xml:space="preserve"> sfuggono alla postergazione rispetto a tutti</w:t>
      </w:r>
      <w:r>
        <w:rPr>
          <w:rFonts w:ascii="Times New Roman" w:hAnsi="Times New Roman" w:cs="Times New Roman"/>
          <w:sz w:val="28"/>
          <w:szCs w:val="28"/>
        </w:rPr>
        <w:t xml:space="preserve"> gli altri</w:t>
      </w:r>
      <w:r w:rsidRPr="00864825">
        <w:rPr>
          <w:rFonts w:ascii="Times New Roman" w:hAnsi="Times New Roman" w:cs="Times New Roman"/>
          <w:sz w:val="28"/>
          <w:szCs w:val="28"/>
        </w:rPr>
        <w:t xml:space="preserve"> creditori</w:t>
      </w:r>
      <w:r>
        <w:rPr>
          <w:rFonts w:ascii="Times New Roman" w:hAnsi="Times New Roman" w:cs="Times New Roman"/>
          <w:sz w:val="28"/>
          <w:szCs w:val="28"/>
        </w:rPr>
        <w:t>.</w:t>
      </w:r>
    </w:p>
    <w:p w:rsidR="00864825" w:rsidRDefault="00864825" w:rsidP="00864825">
      <w:pPr>
        <w:spacing w:after="0" w:line="240" w:lineRule="auto"/>
        <w:jc w:val="both"/>
        <w:rPr>
          <w:rFonts w:ascii="Times New Roman" w:hAnsi="Times New Roman" w:cs="Times New Roman"/>
          <w:sz w:val="28"/>
          <w:szCs w:val="28"/>
        </w:rPr>
      </w:pPr>
      <w:r w:rsidRPr="00864825">
        <w:rPr>
          <w:rFonts w:ascii="Times New Roman" w:hAnsi="Times New Roman" w:cs="Times New Roman"/>
          <w:sz w:val="28"/>
          <w:szCs w:val="28"/>
        </w:rPr>
        <w:t>In caso di intervento tardivo, oltre il termine di cui all</w:t>
      </w:r>
      <w:r w:rsidR="00CC6747">
        <w:rPr>
          <w:rFonts w:ascii="Times New Roman" w:hAnsi="Times New Roman" w:cs="Times New Roman"/>
          <w:sz w:val="28"/>
          <w:szCs w:val="28"/>
        </w:rPr>
        <w:t>’</w:t>
      </w:r>
      <w:hyperlink r:id="rId10" w:history="1">
        <w:r w:rsidR="00CC6747">
          <w:rPr>
            <w:rStyle w:val="Collegamentoipertestuale"/>
            <w:rFonts w:ascii="Times New Roman" w:hAnsi="Times New Roman" w:cs="Times New Roman"/>
            <w:color w:val="auto"/>
            <w:sz w:val="28"/>
            <w:szCs w:val="28"/>
            <w:u w:val="none"/>
          </w:rPr>
          <w:t>art. 499</w:t>
        </w:r>
        <w:r w:rsidRPr="00864825">
          <w:rPr>
            <w:rStyle w:val="Collegamentoipertestuale"/>
            <w:rFonts w:ascii="Times New Roman" w:hAnsi="Times New Roman" w:cs="Times New Roman"/>
            <w:color w:val="auto"/>
            <w:sz w:val="28"/>
            <w:szCs w:val="28"/>
            <w:u w:val="none"/>
          </w:rPr>
          <w:t xml:space="preserve"> co.</w:t>
        </w:r>
      </w:hyperlink>
      <w:r>
        <w:rPr>
          <w:rFonts w:ascii="Times New Roman" w:hAnsi="Times New Roman" w:cs="Times New Roman"/>
          <w:sz w:val="28"/>
          <w:szCs w:val="28"/>
        </w:rPr>
        <w:t xml:space="preserve"> 2</w:t>
      </w:r>
      <w:r w:rsidRPr="00864825">
        <w:rPr>
          <w:rFonts w:ascii="Times New Roman" w:hAnsi="Times New Roman" w:cs="Times New Roman"/>
          <w:sz w:val="28"/>
          <w:szCs w:val="28"/>
        </w:rPr>
        <w:t>, del creditore privilegiato che versi in una delle condizioni cui all</w:t>
      </w:r>
      <w:r w:rsidR="00CC6747">
        <w:rPr>
          <w:rFonts w:ascii="Times New Roman" w:hAnsi="Times New Roman" w:cs="Times New Roman"/>
          <w:sz w:val="28"/>
          <w:szCs w:val="28"/>
        </w:rPr>
        <w:t>’</w:t>
      </w:r>
      <w:hyperlink r:id="rId11" w:history="1">
        <w:r w:rsidR="00CC6747">
          <w:rPr>
            <w:rStyle w:val="Collegamentoipertestuale"/>
            <w:rFonts w:ascii="Times New Roman" w:hAnsi="Times New Roman" w:cs="Times New Roman"/>
            <w:color w:val="auto"/>
            <w:sz w:val="28"/>
            <w:szCs w:val="28"/>
            <w:u w:val="none"/>
          </w:rPr>
          <w:t>art. 499</w:t>
        </w:r>
        <w:r w:rsidRPr="00864825">
          <w:rPr>
            <w:rStyle w:val="Collegamentoipertestuale"/>
            <w:rFonts w:ascii="Times New Roman" w:hAnsi="Times New Roman" w:cs="Times New Roman"/>
            <w:color w:val="auto"/>
            <w:sz w:val="28"/>
            <w:szCs w:val="28"/>
            <w:u w:val="none"/>
          </w:rPr>
          <w:t xml:space="preserve"> co.</w:t>
        </w:r>
      </w:hyperlink>
      <w:r>
        <w:rPr>
          <w:rFonts w:ascii="Times New Roman" w:hAnsi="Times New Roman" w:cs="Times New Roman"/>
          <w:sz w:val="28"/>
          <w:szCs w:val="28"/>
        </w:rPr>
        <w:t xml:space="preserve"> 1</w:t>
      </w:r>
      <w:r w:rsidRPr="00864825">
        <w:rPr>
          <w:rFonts w:ascii="Times New Roman" w:hAnsi="Times New Roman" w:cs="Times New Roman"/>
          <w:sz w:val="28"/>
          <w:szCs w:val="28"/>
        </w:rPr>
        <w:t>, il credito si ha per disconosciuto, restando preclusa l</w:t>
      </w:r>
      <w:r w:rsidR="00CC6747">
        <w:rPr>
          <w:rFonts w:ascii="Times New Roman" w:hAnsi="Times New Roman" w:cs="Times New Roman"/>
          <w:sz w:val="28"/>
          <w:szCs w:val="28"/>
        </w:rPr>
        <w:t>’</w:t>
      </w:r>
      <w:r w:rsidRPr="00864825">
        <w:rPr>
          <w:rFonts w:ascii="Times New Roman" w:hAnsi="Times New Roman" w:cs="Times New Roman"/>
          <w:sz w:val="28"/>
          <w:szCs w:val="28"/>
        </w:rPr>
        <w:t>attivazione del subprocedimento di verificazione regolato dalla norma, senza che da ciò, peraltro, derivi l</w:t>
      </w:r>
      <w:r w:rsidR="00CC6747">
        <w:rPr>
          <w:rFonts w:ascii="Times New Roman" w:hAnsi="Times New Roman" w:cs="Times New Roman"/>
          <w:sz w:val="28"/>
          <w:szCs w:val="28"/>
        </w:rPr>
        <w:t>’</w:t>
      </w:r>
      <w:r w:rsidRPr="00864825">
        <w:rPr>
          <w:rFonts w:ascii="Times New Roman" w:hAnsi="Times New Roman" w:cs="Times New Roman"/>
          <w:sz w:val="28"/>
          <w:szCs w:val="28"/>
        </w:rPr>
        <w:t>inammissibilità dell</w:t>
      </w:r>
      <w:r w:rsidR="00CC6747">
        <w:rPr>
          <w:rFonts w:ascii="Times New Roman" w:hAnsi="Times New Roman" w:cs="Times New Roman"/>
          <w:sz w:val="28"/>
          <w:szCs w:val="28"/>
        </w:rPr>
        <w:t>’</w:t>
      </w:r>
      <w:r w:rsidRPr="00864825">
        <w:rPr>
          <w:rFonts w:ascii="Times New Roman" w:hAnsi="Times New Roman" w:cs="Times New Roman"/>
          <w:sz w:val="28"/>
          <w:szCs w:val="28"/>
        </w:rPr>
        <w:t>intervento stesso</w:t>
      </w:r>
      <w:r>
        <w:rPr>
          <w:rFonts w:ascii="Times New Roman" w:hAnsi="Times New Roman" w:cs="Times New Roman"/>
          <w:sz w:val="28"/>
          <w:szCs w:val="28"/>
        </w:rPr>
        <w:t>,</w:t>
      </w:r>
      <w:r w:rsidRPr="00864825">
        <w:rPr>
          <w:rFonts w:ascii="Times New Roman" w:hAnsi="Times New Roman" w:cs="Times New Roman"/>
          <w:sz w:val="28"/>
          <w:szCs w:val="28"/>
        </w:rPr>
        <w:t xml:space="preserve"> attesa la prevalenza della disciplina di cui all</w:t>
      </w:r>
      <w:r w:rsidR="00CC6747">
        <w:rPr>
          <w:rFonts w:ascii="Times New Roman" w:hAnsi="Times New Roman" w:cs="Times New Roman"/>
          <w:sz w:val="28"/>
          <w:szCs w:val="28"/>
        </w:rPr>
        <w:t>’</w:t>
      </w:r>
      <w:hyperlink r:id="rId12" w:history="1">
        <w:r w:rsidRPr="00864825">
          <w:rPr>
            <w:rStyle w:val="Collegamentoipertestuale"/>
            <w:rFonts w:ascii="Times New Roman" w:hAnsi="Times New Roman" w:cs="Times New Roman"/>
            <w:color w:val="auto"/>
            <w:sz w:val="28"/>
            <w:szCs w:val="28"/>
            <w:u w:val="none"/>
          </w:rPr>
          <w:t>art. 551</w:t>
        </w:r>
      </w:hyperlink>
      <w:r w:rsidRPr="00864825">
        <w:rPr>
          <w:rFonts w:ascii="Times New Roman" w:hAnsi="Times New Roman" w:cs="Times New Roman"/>
          <w:sz w:val="28"/>
          <w:szCs w:val="28"/>
        </w:rPr>
        <w:t> ovvero, per le espropriazioni mobiliari presso il debitore e per le espropriazioni immobiliari, degli </w:t>
      </w:r>
      <w:hyperlink r:id="rId13" w:history="1">
        <w:r w:rsidRPr="00864825">
          <w:rPr>
            <w:rStyle w:val="Collegamentoipertestuale"/>
            <w:rFonts w:ascii="Times New Roman" w:hAnsi="Times New Roman" w:cs="Times New Roman"/>
            <w:color w:val="auto"/>
            <w:sz w:val="28"/>
            <w:szCs w:val="28"/>
            <w:u w:val="none"/>
          </w:rPr>
          <w:t>artt. 528</w:t>
        </w:r>
      </w:hyperlink>
      <w:r w:rsidRPr="00864825">
        <w:rPr>
          <w:rFonts w:ascii="Times New Roman" w:hAnsi="Times New Roman" w:cs="Times New Roman"/>
          <w:sz w:val="28"/>
          <w:szCs w:val="28"/>
        </w:rPr>
        <w:t> e 566, sicché detto creditore, per assicurarsi almeno il diritto all</w:t>
      </w:r>
      <w:r w:rsidR="00CC6747">
        <w:rPr>
          <w:rFonts w:ascii="Times New Roman" w:hAnsi="Times New Roman" w:cs="Times New Roman"/>
          <w:sz w:val="28"/>
          <w:szCs w:val="28"/>
        </w:rPr>
        <w:t>’</w:t>
      </w:r>
      <w:r w:rsidRPr="00864825">
        <w:rPr>
          <w:rFonts w:ascii="Times New Roman" w:hAnsi="Times New Roman" w:cs="Times New Roman"/>
          <w:sz w:val="28"/>
          <w:szCs w:val="28"/>
        </w:rPr>
        <w:t>accantonamento in sede di distribuzione, è tenuto a presentare specifica istanza e a dimostrare di aver agito, entro i trenta giorni dalla data dell</w:t>
      </w:r>
      <w:r w:rsidR="00CC6747">
        <w:rPr>
          <w:rFonts w:ascii="Times New Roman" w:hAnsi="Times New Roman" w:cs="Times New Roman"/>
          <w:sz w:val="28"/>
          <w:szCs w:val="28"/>
        </w:rPr>
        <w:t>’</w:t>
      </w:r>
      <w:r w:rsidRPr="00864825">
        <w:rPr>
          <w:rFonts w:ascii="Times New Roman" w:hAnsi="Times New Roman" w:cs="Times New Roman"/>
          <w:sz w:val="28"/>
          <w:szCs w:val="28"/>
        </w:rPr>
        <w:t>intervento tardivo, per conseguire il titolo esecutiv</w:t>
      </w:r>
      <w:r w:rsidR="00206CC9">
        <w:rPr>
          <w:rFonts w:ascii="Times New Roman" w:hAnsi="Times New Roman" w:cs="Times New Roman"/>
          <w:sz w:val="28"/>
          <w:szCs w:val="28"/>
        </w:rPr>
        <w:t xml:space="preserve">o </w:t>
      </w:r>
      <w:proofErr w:type="spellStart"/>
      <w:r w:rsidR="00206CC9">
        <w:rPr>
          <w:rFonts w:ascii="Times New Roman" w:hAnsi="Times New Roman" w:cs="Times New Roman"/>
          <w:sz w:val="28"/>
          <w:szCs w:val="28"/>
        </w:rPr>
        <w:t>mancantegli</w:t>
      </w:r>
      <w:proofErr w:type="spellEnd"/>
      <w:r w:rsidR="00206CC9">
        <w:rPr>
          <w:rFonts w:ascii="Times New Roman" w:hAnsi="Times New Roman" w:cs="Times New Roman"/>
          <w:sz w:val="28"/>
          <w:szCs w:val="28"/>
        </w:rPr>
        <w:t xml:space="preserve"> nei confronti del debitore</w:t>
      </w:r>
      <w:r w:rsidRPr="00864825">
        <w:rPr>
          <w:rFonts w:ascii="Times New Roman" w:hAnsi="Times New Roman" w:cs="Times New Roman"/>
          <w:sz w:val="28"/>
          <w:szCs w:val="28"/>
        </w:rPr>
        <w:t>.</w:t>
      </w:r>
    </w:p>
    <w:p w:rsidR="001145EB" w:rsidRDefault="001145EB" w:rsidP="00864825">
      <w:pPr>
        <w:spacing w:after="0" w:line="240" w:lineRule="auto"/>
        <w:jc w:val="both"/>
        <w:rPr>
          <w:rFonts w:ascii="Times New Roman" w:hAnsi="Times New Roman" w:cs="Times New Roman"/>
          <w:sz w:val="28"/>
          <w:szCs w:val="28"/>
        </w:rPr>
      </w:pPr>
      <w:r w:rsidRPr="004502FB">
        <w:rPr>
          <w:rFonts w:ascii="Times New Roman" w:hAnsi="Times New Roman" w:cs="Times New Roman"/>
          <w:sz w:val="28"/>
          <w:szCs w:val="28"/>
          <w:highlight w:val="yellow"/>
        </w:rPr>
        <w:t xml:space="preserve">Per riepilogare, dal combinato disposto degli artt. 565 e 566 emerge che sono tardivi i creditori che intervengono oltre l’udienza di autorizzazione della vendita, ma prima dell’udienza fissata ai sensi dell’art. 596 </w:t>
      </w:r>
      <w:proofErr w:type="spellStart"/>
      <w:r w:rsidRPr="004502FB">
        <w:rPr>
          <w:rFonts w:ascii="Times New Roman" w:hAnsi="Times New Roman" w:cs="Times New Roman"/>
          <w:sz w:val="28"/>
          <w:szCs w:val="28"/>
          <w:highlight w:val="yellow"/>
        </w:rPr>
        <w:t>c.p.c.</w:t>
      </w:r>
      <w:proofErr w:type="spellEnd"/>
      <w:r w:rsidRPr="004502FB">
        <w:rPr>
          <w:rFonts w:ascii="Times New Roman" w:hAnsi="Times New Roman" w:cs="Times New Roman"/>
          <w:sz w:val="28"/>
          <w:szCs w:val="28"/>
          <w:highlight w:val="yellow"/>
        </w:rPr>
        <w:t xml:space="preserve"> per l’approvazione del piano di riparto. Dal che di deduce che l’intervento è tempestivo se formalizzato entro l’udienza di autorizzazione alla vendita forzata. Tuttavia, in via interpretativa, si è ritenuto che l’intervento nell’esecuzione immobiliare sia tempestivo sino a che non venga adottata l’ordinanza che dispone la vendita o l’assegnazione</w:t>
      </w:r>
      <w:r w:rsidR="002F05D1">
        <w:rPr>
          <w:rFonts w:ascii="Times New Roman" w:hAnsi="Times New Roman" w:cs="Times New Roman"/>
          <w:sz w:val="28"/>
          <w:szCs w:val="28"/>
          <w:highlight w:val="yellow"/>
        </w:rPr>
        <w:t>.</w:t>
      </w:r>
      <w:r w:rsidRPr="004502FB">
        <w:rPr>
          <w:rFonts w:ascii="Times New Roman" w:hAnsi="Times New Roman" w:cs="Times New Roman"/>
          <w:sz w:val="28"/>
          <w:szCs w:val="28"/>
          <w:highlight w:val="yellow"/>
        </w:rPr>
        <w:t xml:space="preserve"> Il momento ultimo per l’ammissibilità dell’intervento è</w:t>
      </w:r>
      <w:r w:rsidR="002F05D1">
        <w:rPr>
          <w:rFonts w:ascii="Times New Roman" w:hAnsi="Times New Roman" w:cs="Times New Roman"/>
          <w:sz w:val="28"/>
          <w:szCs w:val="28"/>
          <w:highlight w:val="yellow"/>
        </w:rPr>
        <w:t>,</w:t>
      </w:r>
      <w:r w:rsidRPr="004502FB">
        <w:rPr>
          <w:rFonts w:ascii="Times New Roman" w:hAnsi="Times New Roman" w:cs="Times New Roman"/>
          <w:sz w:val="28"/>
          <w:szCs w:val="28"/>
          <w:highlight w:val="yellow"/>
        </w:rPr>
        <w:t xml:space="preserve"> invece</w:t>
      </w:r>
      <w:r w:rsidR="002F05D1">
        <w:rPr>
          <w:rFonts w:ascii="Times New Roman" w:hAnsi="Times New Roman" w:cs="Times New Roman"/>
          <w:sz w:val="28"/>
          <w:szCs w:val="28"/>
          <w:highlight w:val="yellow"/>
        </w:rPr>
        <w:t>,</w:t>
      </w:r>
      <w:bookmarkStart w:id="0" w:name="_GoBack"/>
      <w:bookmarkEnd w:id="0"/>
      <w:r w:rsidRPr="004502FB">
        <w:rPr>
          <w:rFonts w:ascii="Times New Roman" w:hAnsi="Times New Roman" w:cs="Times New Roman"/>
          <w:sz w:val="28"/>
          <w:szCs w:val="28"/>
          <w:highlight w:val="yellow"/>
        </w:rPr>
        <w:t xml:space="preserve"> costituito non dal deposito in cancelleria del piano di riparto, ma dall’udienza destinata alla sua discussione e approvazione. Inoltre, l’art. 566 conferma che la tardività dell’intervento incide sulla sola posizione dei creditori chirografari ai quali è riconosciuto </w:t>
      </w:r>
      <w:r w:rsidR="004502FB" w:rsidRPr="004502FB">
        <w:rPr>
          <w:rFonts w:ascii="Times New Roman" w:hAnsi="Times New Roman" w:cs="Times New Roman"/>
          <w:sz w:val="28"/>
          <w:szCs w:val="28"/>
          <w:highlight w:val="yellow"/>
        </w:rPr>
        <w:t xml:space="preserve">il diritto a concorrere nella fase distributiva sul solo sopravanzo, mentre non produce conseguenze con riguardo ai diritti dei privilegiati. Anzi questi ultimi, anche se intervenuti tardivamente, </w:t>
      </w:r>
      <w:proofErr w:type="spellStart"/>
      <w:r w:rsidR="004502FB" w:rsidRPr="004502FB">
        <w:rPr>
          <w:rFonts w:ascii="Times New Roman" w:hAnsi="Times New Roman" w:cs="Times New Roman"/>
          <w:sz w:val="28"/>
          <w:szCs w:val="28"/>
          <w:highlight w:val="yellow"/>
        </w:rPr>
        <w:t>purchè</w:t>
      </w:r>
      <w:proofErr w:type="spellEnd"/>
      <w:r w:rsidR="004502FB" w:rsidRPr="004502FB">
        <w:rPr>
          <w:rFonts w:ascii="Times New Roman" w:hAnsi="Times New Roman" w:cs="Times New Roman"/>
          <w:sz w:val="28"/>
          <w:szCs w:val="28"/>
          <w:highlight w:val="yellow"/>
        </w:rPr>
        <w:t xml:space="preserve"> siano muniti di titolo esecutivo, possono provocare atti dell’espropriazione</w:t>
      </w:r>
      <w:r w:rsidR="004502FB">
        <w:rPr>
          <w:rFonts w:ascii="Times New Roman" w:hAnsi="Times New Roman" w:cs="Times New Roman"/>
          <w:sz w:val="28"/>
          <w:szCs w:val="28"/>
        </w:rPr>
        <w:t>.</w:t>
      </w:r>
      <w:r>
        <w:rPr>
          <w:rFonts w:ascii="Times New Roman" w:hAnsi="Times New Roman" w:cs="Times New Roman"/>
          <w:sz w:val="28"/>
          <w:szCs w:val="28"/>
        </w:rPr>
        <w:t xml:space="preserve"> </w:t>
      </w:r>
    </w:p>
    <w:p w:rsidR="00651407" w:rsidRPr="008F6D00" w:rsidRDefault="00651407" w:rsidP="00864825">
      <w:pPr>
        <w:spacing w:after="0" w:line="240" w:lineRule="auto"/>
        <w:jc w:val="both"/>
        <w:rPr>
          <w:rFonts w:ascii="Times New Roman" w:hAnsi="Times New Roman" w:cs="Times New Roman"/>
          <w:sz w:val="28"/>
          <w:szCs w:val="28"/>
          <w:highlight w:val="yellow"/>
        </w:rPr>
      </w:pPr>
      <w:r w:rsidRPr="008F6D00">
        <w:rPr>
          <w:rFonts w:ascii="Times New Roman" w:hAnsi="Times New Roman" w:cs="Times New Roman"/>
          <w:sz w:val="28"/>
          <w:szCs w:val="28"/>
          <w:highlight w:val="yellow"/>
        </w:rPr>
        <w:t>In conclusione, coordinando il trittico di norme qui in commento con le disposizioni generali il tema di intervento dei creditori, si può tracciare questo quadro:</w:t>
      </w:r>
    </w:p>
    <w:p w:rsidR="008F6D00" w:rsidRPr="008F6D00" w:rsidRDefault="00651407" w:rsidP="00651407">
      <w:pPr>
        <w:pStyle w:val="Paragrafoelenco"/>
        <w:numPr>
          <w:ilvl w:val="0"/>
          <w:numId w:val="1"/>
        </w:numPr>
        <w:spacing w:after="0" w:line="240" w:lineRule="auto"/>
        <w:jc w:val="both"/>
        <w:rPr>
          <w:rFonts w:ascii="Times New Roman" w:hAnsi="Times New Roman" w:cs="Times New Roman"/>
          <w:sz w:val="28"/>
          <w:szCs w:val="28"/>
          <w:highlight w:val="yellow"/>
        </w:rPr>
      </w:pPr>
      <w:r w:rsidRPr="008F6D00">
        <w:rPr>
          <w:rFonts w:ascii="Times New Roman" w:hAnsi="Times New Roman" w:cs="Times New Roman"/>
          <w:sz w:val="28"/>
          <w:szCs w:val="28"/>
          <w:highlight w:val="yellow"/>
        </w:rPr>
        <w:t xml:space="preserve">I </w:t>
      </w:r>
      <w:r w:rsidRPr="008F6D00">
        <w:rPr>
          <w:rFonts w:ascii="Times New Roman" w:hAnsi="Times New Roman" w:cs="Times New Roman"/>
          <w:b/>
          <w:sz w:val="28"/>
          <w:szCs w:val="28"/>
          <w:highlight w:val="yellow"/>
        </w:rPr>
        <w:t>creditori chirografari</w:t>
      </w:r>
      <w:r w:rsidRPr="008F6D00">
        <w:rPr>
          <w:rFonts w:ascii="Times New Roman" w:hAnsi="Times New Roman" w:cs="Times New Roman"/>
          <w:sz w:val="28"/>
          <w:szCs w:val="28"/>
          <w:highlight w:val="yellow"/>
        </w:rPr>
        <w:t>, muniti di titolo esecutivo, se intervengono non oltre la prima udienza fissata per l’autorizzazione della vendita</w:t>
      </w:r>
      <w:r w:rsidR="00D57C58" w:rsidRPr="008F6D00">
        <w:rPr>
          <w:rFonts w:ascii="Times New Roman" w:hAnsi="Times New Roman" w:cs="Times New Roman"/>
          <w:sz w:val="28"/>
          <w:szCs w:val="28"/>
          <w:highlight w:val="yellow"/>
        </w:rPr>
        <w:t xml:space="preserve"> (intervento tempestivo)</w:t>
      </w:r>
      <w:r w:rsidRPr="008F6D00">
        <w:rPr>
          <w:rFonts w:ascii="Times New Roman" w:hAnsi="Times New Roman" w:cs="Times New Roman"/>
          <w:sz w:val="28"/>
          <w:szCs w:val="28"/>
          <w:highlight w:val="yellow"/>
        </w:rPr>
        <w:t>, partecipano all’espropriazione dell’</w:t>
      </w:r>
      <w:r w:rsidR="00D57C58" w:rsidRPr="008F6D00">
        <w:rPr>
          <w:rFonts w:ascii="Times New Roman" w:hAnsi="Times New Roman" w:cs="Times New Roman"/>
          <w:sz w:val="28"/>
          <w:szCs w:val="28"/>
          <w:highlight w:val="yellow"/>
        </w:rPr>
        <w:t>immobile,</w:t>
      </w:r>
      <w:r w:rsidRPr="008F6D00">
        <w:rPr>
          <w:rFonts w:ascii="Times New Roman" w:hAnsi="Times New Roman" w:cs="Times New Roman"/>
          <w:sz w:val="28"/>
          <w:szCs w:val="28"/>
          <w:highlight w:val="yellow"/>
        </w:rPr>
        <w:t xml:space="preserve"> possono provocarne i singoli atti</w:t>
      </w:r>
      <w:r w:rsidR="00D57C58" w:rsidRPr="008F6D00">
        <w:rPr>
          <w:rFonts w:ascii="Times New Roman" w:hAnsi="Times New Roman" w:cs="Times New Roman"/>
          <w:sz w:val="28"/>
          <w:szCs w:val="28"/>
          <w:highlight w:val="yellow"/>
        </w:rPr>
        <w:t xml:space="preserve"> e partecipano alla distribuzione del ricavato in base alle loro ragioni creditorie; quelli che intervengono dopo questa udienza, ma</w:t>
      </w:r>
      <w:r w:rsidR="00791C9D" w:rsidRPr="008F6D00">
        <w:rPr>
          <w:rFonts w:ascii="Times New Roman" w:hAnsi="Times New Roman" w:cs="Times New Roman"/>
          <w:sz w:val="28"/>
          <w:szCs w:val="28"/>
          <w:highlight w:val="yellow"/>
        </w:rPr>
        <w:t xml:space="preserve"> prima d</w:t>
      </w:r>
      <w:r w:rsidR="00D57C58" w:rsidRPr="008F6D00">
        <w:rPr>
          <w:rFonts w:ascii="Times New Roman" w:hAnsi="Times New Roman" w:cs="Times New Roman"/>
          <w:sz w:val="28"/>
          <w:szCs w:val="28"/>
          <w:highlight w:val="yellow"/>
        </w:rPr>
        <w:t xml:space="preserve">i quella fissata per </w:t>
      </w:r>
      <w:r w:rsidR="00D57C58" w:rsidRPr="008F6D00">
        <w:rPr>
          <w:rFonts w:ascii="Times New Roman" w:hAnsi="Times New Roman" w:cs="Times New Roman"/>
          <w:sz w:val="28"/>
          <w:szCs w:val="28"/>
          <w:highlight w:val="yellow"/>
        </w:rPr>
        <w:lastRenderedPageBreak/>
        <w:t>l’approvazione del progetto di riparto</w:t>
      </w:r>
      <w:r w:rsidR="00791C9D" w:rsidRPr="008F6D00">
        <w:rPr>
          <w:rFonts w:ascii="Times New Roman" w:hAnsi="Times New Roman" w:cs="Times New Roman"/>
          <w:sz w:val="28"/>
          <w:szCs w:val="28"/>
          <w:highlight w:val="yellow"/>
        </w:rPr>
        <w:t xml:space="preserve"> (intervento tardivo)</w:t>
      </w:r>
      <w:r w:rsidR="00D57C58" w:rsidRPr="008F6D00">
        <w:rPr>
          <w:rFonts w:ascii="Times New Roman" w:hAnsi="Times New Roman" w:cs="Times New Roman"/>
          <w:sz w:val="28"/>
          <w:szCs w:val="28"/>
          <w:highlight w:val="yellow"/>
        </w:rPr>
        <w:t>, indipendentemente dal possesso o meno del titolo esecutivo, concorrono alla distribuzione della somma ricavata che sopravanza dopo che siano stati soddisfatti il creditore pignorante, i creditori privilegiati e</w:t>
      </w:r>
      <w:r w:rsidR="00791C9D" w:rsidRPr="008F6D00">
        <w:rPr>
          <w:rFonts w:ascii="Times New Roman" w:hAnsi="Times New Roman" w:cs="Times New Roman"/>
          <w:sz w:val="28"/>
          <w:szCs w:val="28"/>
          <w:highlight w:val="yellow"/>
        </w:rPr>
        <w:t xml:space="preserve"> i</w:t>
      </w:r>
      <w:r w:rsidR="00D57C58" w:rsidRPr="008F6D00">
        <w:rPr>
          <w:rFonts w:ascii="Times New Roman" w:hAnsi="Times New Roman" w:cs="Times New Roman"/>
          <w:sz w:val="28"/>
          <w:szCs w:val="28"/>
          <w:highlight w:val="yellow"/>
        </w:rPr>
        <w:t xml:space="preserve"> chirografari intervenuti tempestivamente</w:t>
      </w:r>
      <w:r w:rsidR="00791C9D" w:rsidRPr="008F6D00">
        <w:rPr>
          <w:rFonts w:ascii="Times New Roman" w:hAnsi="Times New Roman" w:cs="Times New Roman"/>
          <w:sz w:val="28"/>
          <w:szCs w:val="28"/>
          <w:highlight w:val="yellow"/>
        </w:rPr>
        <w:t>. L’unica differenza</w:t>
      </w:r>
      <w:r w:rsidR="008F6D00" w:rsidRPr="008F6D00">
        <w:rPr>
          <w:rFonts w:ascii="Times New Roman" w:hAnsi="Times New Roman" w:cs="Times New Roman"/>
          <w:sz w:val="28"/>
          <w:szCs w:val="28"/>
          <w:highlight w:val="yellow"/>
        </w:rPr>
        <w:t>, dunque,</w:t>
      </w:r>
      <w:r w:rsidR="00791C9D" w:rsidRPr="008F6D00">
        <w:rPr>
          <w:rFonts w:ascii="Times New Roman" w:hAnsi="Times New Roman" w:cs="Times New Roman"/>
          <w:sz w:val="28"/>
          <w:szCs w:val="28"/>
          <w:highlight w:val="yellow"/>
        </w:rPr>
        <w:t xml:space="preserve"> per un creditore chirografario non munito di titolo esecutivo è che se interviene tardivamente perde la </w:t>
      </w:r>
      <w:r w:rsidR="00791C9D" w:rsidRPr="008F6D00">
        <w:rPr>
          <w:rFonts w:ascii="Times New Roman" w:hAnsi="Times New Roman" w:cs="Times New Roman"/>
          <w:i/>
          <w:sz w:val="28"/>
          <w:szCs w:val="28"/>
          <w:highlight w:val="yellow"/>
        </w:rPr>
        <w:t>chance</w:t>
      </w:r>
      <w:r w:rsidR="00791C9D" w:rsidRPr="008F6D00">
        <w:rPr>
          <w:rFonts w:ascii="Times New Roman" w:hAnsi="Times New Roman" w:cs="Times New Roman"/>
          <w:sz w:val="28"/>
          <w:szCs w:val="28"/>
          <w:highlight w:val="yellow"/>
        </w:rPr>
        <w:t xml:space="preserve"> del riconoscimento da parte del debitore del suo credito, che invece si riterrà disconosciuto ad ogni effetto.</w:t>
      </w:r>
    </w:p>
    <w:p w:rsidR="00651407" w:rsidRPr="00651407" w:rsidRDefault="008F6D00" w:rsidP="00651407">
      <w:pPr>
        <w:pStyle w:val="Paragrafoelenco"/>
        <w:numPr>
          <w:ilvl w:val="0"/>
          <w:numId w:val="1"/>
        </w:numPr>
        <w:spacing w:after="0" w:line="240" w:lineRule="auto"/>
        <w:jc w:val="both"/>
        <w:rPr>
          <w:rFonts w:ascii="Times New Roman" w:hAnsi="Times New Roman" w:cs="Times New Roman"/>
          <w:sz w:val="28"/>
          <w:szCs w:val="28"/>
        </w:rPr>
      </w:pPr>
      <w:r w:rsidRPr="008F6D00">
        <w:rPr>
          <w:rFonts w:ascii="Times New Roman" w:hAnsi="Times New Roman" w:cs="Times New Roman"/>
          <w:sz w:val="28"/>
          <w:szCs w:val="28"/>
          <w:highlight w:val="yellow"/>
        </w:rPr>
        <w:t xml:space="preserve">I </w:t>
      </w:r>
      <w:r w:rsidRPr="008F6D00">
        <w:rPr>
          <w:rFonts w:ascii="Times New Roman" w:hAnsi="Times New Roman" w:cs="Times New Roman"/>
          <w:b/>
          <w:sz w:val="28"/>
          <w:szCs w:val="28"/>
          <w:highlight w:val="yellow"/>
        </w:rPr>
        <w:t>creditori privilegiati</w:t>
      </w:r>
      <w:r w:rsidRPr="008F6D00">
        <w:rPr>
          <w:rFonts w:ascii="Times New Roman" w:hAnsi="Times New Roman" w:cs="Times New Roman"/>
          <w:sz w:val="28"/>
          <w:szCs w:val="28"/>
          <w:highlight w:val="yellow"/>
        </w:rPr>
        <w:t>, pur se intervengono tardivamente, cioè oltre l’udienza di autorizzazione della vendita, ma prima di quella di approvazione del progetto, vengono soddisfatti in ragione dei loro diritti di prelazione, ma solo se muniti di titolo esecutivo possono provocare atti della espropriazione.</w:t>
      </w:r>
      <w:r w:rsidR="00791C9D">
        <w:rPr>
          <w:rFonts w:ascii="Times New Roman" w:hAnsi="Times New Roman" w:cs="Times New Roman"/>
          <w:sz w:val="28"/>
          <w:szCs w:val="28"/>
        </w:rPr>
        <w:t xml:space="preserve"> </w:t>
      </w:r>
      <w:r w:rsidR="00D57C58">
        <w:rPr>
          <w:rFonts w:ascii="Times New Roman" w:hAnsi="Times New Roman" w:cs="Times New Roman"/>
          <w:sz w:val="28"/>
          <w:szCs w:val="28"/>
        </w:rPr>
        <w:t xml:space="preserve"> </w:t>
      </w:r>
      <w:r w:rsidR="00651407" w:rsidRPr="00651407">
        <w:rPr>
          <w:rFonts w:ascii="Times New Roman" w:hAnsi="Times New Roman" w:cs="Times New Roman"/>
          <w:sz w:val="28"/>
          <w:szCs w:val="28"/>
        </w:rPr>
        <w:t xml:space="preserve"> </w:t>
      </w:r>
    </w:p>
    <w:p w:rsidR="00864825" w:rsidRPr="00864825" w:rsidRDefault="00864825" w:rsidP="00864825">
      <w:pPr>
        <w:spacing w:after="0" w:line="240" w:lineRule="auto"/>
        <w:jc w:val="both"/>
        <w:rPr>
          <w:rFonts w:ascii="Times New Roman" w:hAnsi="Times New Roman" w:cs="Times New Roman"/>
          <w:sz w:val="28"/>
          <w:szCs w:val="28"/>
        </w:rPr>
      </w:pPr>
    </w:p>
    <w:p w:rsidR="00864825" w:rsidRPr="00864825" w:rsidRDefault="00864825" w:rsidP="003067DD">
      <w:pPr>
        <w:spacing w:after="0" w:line="240" w:lineRule="auto"/>
        <w:jc w:val="both"/>
        <w:rPr>
          <w:rFonts w:ascii="Times New Roman" w:hAnsi="Times New Roman" w:cs="Times New Roman"/>
          <w:sz w:val="28"/>
          <w:szCs w:val="28"/>
        </w:rPr>
      </w:pPr>
    </w:p>
    <w:p w:rsidR="00A87EFC" w:rsidRPr="00A87EFC" w:rsidRDefault="00A87EFC" w:rsidP="00A77501">
      <w:pPr>
        <w:spacing w:after="0" w:line="240" w:lineRule="auto"/>
        <w:jc w:val="both"/>
        <w:rPr>
          <w:rFonts w:ascii="Times New Roman" w:hAnsi="Times New Roman" w:cs="Times New Roman"/>
          <w:sz w:val="28"/>
          <w:szCs w:val="28"/>
        </w:rPr>
      </w:pPr>
    </w:p>
    <w:p w:rsidR="000739E9" w:rsidRPr="00A77501" w:rsidRDefault="000739E9" w:rsidP="00A77501">
      <w:pPr>
        <w:spacing w:after="0" w:line="240" w:lineRule="auto"/>
        <w:jc w:val="both"/>
        <w:rPr>
          <w:rFonts w:ascii="Times New Roman" w:hAnsi="Times New Roman" w:cs="Times New Roman"/>
          <w:sz w:val="28"/>
          <w:szCs w:val="28"/>
        </w:rPr>
      </w:pPr>
    </w:p>
    <w:p w:rsidR="00A77501" w:rsidRPr="00A77501" w:rsidRDefault="00A77501" w:rsidP="00A77501">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032C04" w:rsidRPr="00032C04" w:rsidRDefault="00032C04" w:rsidP="00032C04">
      <w:pPr>
        <w:spacing w:after="0" w:line="240" w:lineRule="auto"/>
        <w:jc w:val="both"/>
        <w:rPr>
          <w:rFonts w:ascii="Times New Roman" w:hAnsi="Times New Roman" w:cs="Times New Roman"/>
          <w:sz w:val="28"/>
          <w:szCs w:val="28"/>
        </w:rPr>
      </w:pPr>
    </w:p>
    <w:sectPr w:rsidR="00032C04" w:rsidRPr="00032C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223EDC"/>
    <w:multiLevelType w:val="hybridMultilevel"/>
    <w:tmpl w:val="57AAAB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39"/>
    <w:rsid w:val="00032C04"/>
    <w:rsid w:val="000739E9"/>
    <w:rsid w:val="000B49D0"/>
    <w:rsid w:val="000B5EBD"/>
    <w:rsid w:val="000D3EDA"/>
    <w:rsid w:val="001145EB"/>
    <w:rsid w:val="00150B95"/>
    <w:rsid w:val="001518F4"/>
    <w:rsid w:val="00185709"/>
    <w:rsid w:val="00192C97"/>
    <w:rsid w:val="00194379"/>
    <w:rsid w:val="001E0B6D"/>
    <w:rsid w:val="001E56ED"/>
    <w:rsid w:val="001E646B"/>
    <w:rsid w:val="001F181E"/>
    <w:rsid w:val="00206CC9"/>
    <w:rsid w:val="00227A00"/>
    <w:rsid w:val="002523B3"/>
    <w:rsid w:val="00257735"/>
    <w:rsid w:val="002746C0"/>
    <w:rsid w:val="002953E4"/>
    <w:rsid w:val="002B424B"/>
    <w:rsid w:val="002C1DAC"/>
    <w:rsid w:val="002F0554"/>
    <w:rsid w:val="002F05D1"/>
    <w:rsid w:val="003067DD"/>
    <w:rsid w:val="00327CB2"/>
    <w:rsid w:val="00382EC9"/>
    <w:rsid w:val="00394B70"/>
    <w:rsid w:val="00413CAC"/>
    <w:rsid w:val="004156EF"/>
    <w:rsid w:val="004502FB"/>
    <w:rsid w:val="00453220"/>
    <w:rsid w:val="00473AC5"/>
    <w:rsid w:val="004B3D7B"/>
    <w:rsid w:val="004C48B3"/>
    <w:rsid w:val="004D51DC"/>
    <w:rsid w:val="004F6996"/>
    <w:rsid w:val="005245E3"/>
    <w:rsid w:val="00563E88"/>
    <w:rsid w:val="00583A4C"/>
    <w:rsid w:val="005B1476"/>
    <w:rsid w:val="006079B3"/>
    <w:rsid w:val="006439F1"/>
    <w:rsid w:val="00651407"/>
    <w:rsid w:val="00682633"/>
    <w:rsid w:val="0069194D"/>
    <w:rsid w:val="006A194A"/>
    <w:rsid w:val="006A753A"/>
    <w:rsid w:val="006B1643"/>
    <w:rsid w:val="007379F2"/>
    <w:rsid w:val="007622D3"/>
    <w:rsid w:val="00791C9D"/>
    <w:rsid w:val="007B45CE"/>
    <w:rsid w:val="007D0380"/>
    <w:rsid w:val="007F70D2"/>
    <w:rsid w:val="00864825"/>
    <w:rsid w:val="00890794"/>
    <w:rsid w:val="008A257F"/>
    <w:rsid w:val="008F15F2"/>
    <w:rsid w:val="008F6D00"/>
    <w:rsid w:val="0097394E"/>
    <w:rsid w:val="00996EF8"/>
    <w:rsid w:val="009D1AC9"/>
    <w:rsid w:val="00A01142"/>
    <w:rsid w:val="00A02D89"/>
    <w:rsid w:val="00A42A39"/>
    <w:rsid w:val="00A77501"/>
    <w:rsid w:val="00A87EFC"/>
    <w:rsid w:val="00AA1158"/>
    <w:rsid w:val="00AC568D"/>
    <w:rsid w:val="00AD3256"/>
    <w:rsid w:val="00AD4E17"/>
    <w:rsid w:val="00AD58C1"/>
    <w:rsid w:val="00AE6FFA"/>
    <w:rsid w:val="00B22A88"/>
    <w:rsid w:val="00B349AC"/>
    <w:rsid w:val="00B57004"/>
    <w:rsid w:val="00B82F5F"/>
    <w:rsid w:val="00BE22D0"/>
    <w:rsid w:val="00C94991"/>
    <w:rsid w:val="00CC0533"/>
    <w:rsid w:val="00CC6747"/>
    <w:rsid w:val="00D23869"/>
    <w:rsid w:val="00D41E45"/>
    <w:rsid w:val="00D57C58"/>
    <w:rsid w:val="00E17284"/>
    <w:rsid w:val="00E950FA"/>
    <w:rsid w:val="00EA18D7"/>
    <w:rsid w:val="00EA6944"/>
    <w:rsid w:val="00EC1501"/>
    <w:rsid w:val="00F27F03"/>
    <w:rsid w:val="00F775C1"/>
    <w:rsid w:val="00F85283"/>
    <w:rsid w:val="00FF0C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2C660"/>
  <w15:docId w15:val="{66B1C241-B3C3-4CF3-94E0-1DFB8C3B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5245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4B70"/>
    <w:rPr>
      <w:color w:val="0000FF" w:themeColor="hyperlink"/>
      <w:u w:val="single"/>
    </w:rPr>
  </w:style>
  <w:style w:type="character" w:customStyle="1" w:styleId="Titolo1Carattere">
    <w:name w:val="Titolo 1 Carattere"/>
    <w:basedOn w:val="Carpredefinitoparagrafo"/>
    <w:link w:val="Titolo1"/>
    <w:uiPriority w:val="9"/>
    <w:rsid w:val="005245E3"/>
    <w:rPr>
      <w:rFonts w:asciiTheme="majorHAnsi" w:eastAsiaTheme="majorEastAsia" w:hAnsiTheme="majorHAnsi" w:cstheme="majorBidi"/>
      <w:color w:val="365F91" w:themeColor="accent1" w:themeShade="BF"/>
      <w:sz w:val="32"/>
      <w:szCs w:val="32"/>
    </w:rPr>
  </w:style>
  <w:style w:type="paragraph" w:styleId="Corpotesto">
    <w:name w:val="Body Text"/>
    <w:basedOn w:val="Normale"/>
    <w:link w:val="CorpotestoCarattere"/>
    <w:uiPriority w:val="99"/>
    <w:unhideWhenUsed/>
    <w:rsid w:val="005245E3"/>
    <w:pPr>
      <w:spacing w:after="120"/>
    </w:pPr>
  </w:style>
  <w:style w:type="character" w:customStyle="1" w:styleId="CorpotestoCarattere">
    <w:name w:val="Corpo testo Carattere"/>
    <w:basedOn w:val="Carpredefinitoparagrafo"/>
    <w:link w:val="Corpotesto"/>
    <w:uiPriority w:val="99"/>
    <w:rsid w:val="005245E3"/>
  </w:style>
  <w:style w:type="paragraph" w:styleId="Paragrafoelenco">
    <w:name w:val="List Paragraph"/>
    <w:basedOn w:val="Normale"/>
    <w:uiPriority w:val="34"/>
    <w:qFormat/>
    <w:rsid w:val="00651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687611">
      <w:bodyDiv w:val="1"/>
      <w:marLeft w:val="0"/>
      <w:marRight w:val="0"/>
      <w:marTop w:val="0"/>
      <w:marBottom w:val="0"/>
      <w:divBdr>
        <w:top w:val="none" w:sz="0" w:space="0" w:color="auto"/>
        <w:left w:val="none" w:sz="0" w:space="0" w:color="auto"/>
        <w:bottom w:val="none" w:sz="0" w:space="0" w:color="auto"/>
        <w:right w:val="none" w:sz="0" w:space="0" w:color="auto"/>
      </w:divBdr>
    </w:div>
    <w:div w:id="1100759291">
      <w:bodyDiv w:val="1"/>
      <w:marLeft w:val="0"/>
      <w:marRight w:val="0"/>
      <w:marTop w:val="0"/>
      <w:marBottom w:val="0"/>
      <w:divBdr>
        <w:top w:val="none" w:sz="0" w:space="0" w:color="auto"/>
        <w:left w:val="none" w:sz="0" w:space="0" w:color="auto"/>
        <w:bottom w:val="none" w:sz="0" w:space="0" w:color="auto"/>
        <w:right w:val="none" w:sz="0" w:space="0" w:color="auto"/>
      </w:divBdr>
    </w:div>
    <w:div w:id="1267230121">
      <w:bodyDiv w:val="1"/>
      <w:marLeft w:val="0"/>
      <w:marRight w:val="0"/>
      <w:marTop w:val="0"/>
      <w:marBottom w:val="0"/>
      <w:divBdr>
        <w:top w:val="none" w:sz="0" w:space="0" w:color="auto"/>
        <w:left w:val="none" w:sz="0" w:space="0" w:color="auto"/>
        <w:bottom w:val="none" w:sz="0" w:space="0" w:color="auto"/>
        <w:right w:val="none" w:sz="0" w:space="0" w:color="auto"/>
      </w:divBdr>
    </w:div>
    <w:div w:id="1341734964">
      <w:bodyDiv w:val="1"/>
      <w:marLeft w:val="0"/>
      <w:marRight w:val="0"/>
      <w:marTop w:val="0"/>
      <w:marBottom w:val="0"/>
      <w:divBdr>
        <w:top w:val="none" w:sz="0" w:space="0" w:color="auto"/>
        <w:left w:val="none" w:sz="0" w:space="0" w:color="auto"/>
        <w:bottom w:val="none" w:sz="0" w:space="0" w:color="auto"/>
        <w:right w:val="none" w:sz="0" w:space="0" w:color="auto"/>
      </w:divBdr>
    </w:div>
    <w:div w:id="1540315617">
      <w:bodyDiv w:val="1"/>
      <w:marLeft w:val="0"/>
      <w:marRight w:val="0"/>
      <w:marTop w:val="0"/>
      <w:marBottom w:val="0"/>
      <w:divBdr>
        <w:top w:val="none" w:sz="0" w:space="0" w:color="auto"/>
        <w:left w:val="none" w:sz="0" w:space="0" w:color="auto"/>
        <w:bottom w:val="none" w:sz="0" w:space="0" w:color="auto"/>
        <w:right w:val="none" w:sz="0" w:space="0" w:color="auto"/>
      </w:divBdr>
    </w:div>
    <w:div w:id="19059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kernel.go('bd',%7bmask:'main',opera:'C1',id:'C1CI0000002413',key:'C1CI0000002413',%20callerTicket:%20'',%20userKey:%20'',_menu:'moduli',kind:''%7d)" TargetMode="External"/><Relationship Id="rId13" Type="http://schemas.openxmlformats.org/officeDocument/2006/relationships/hyperlink" Target="javascript:kernel.go('bd',%7bmask:'main',opera:'C1',id:'C1CI0000002001',key:'C1CI0000002001',%20callerTicket:%20'',%20userKey:%20'',_menu:'moduli',kind:''%7d)" TargetMode="External"/><Relationship Id="rId3" Type="http://schemas.openxmlformats.org/officeDocument/2006/relationships/settings" Target="settings.xml"/><Relationship Id="rId7" Type="http://schemas.openxmlformats.org/officeDocument/2006/relationships/hyperlink" Target="javascript:kernel.go('bd',%7bmask:'main',opera:'C1',id:'C1CI0000001874',key:'C1CI0000001874',%20callerTicket:%20'',%20userKey:%20'',_menu:'moduli',kind:''%7d)" TargetMode="External"/><Relationship Id="rId12" Type="http://schemas.openxmlformats.org/officeDocument/2006/relationships/hyperlink" Target="javascript:kernel.go('bd',%7bmask:'main',opera:'C1',id:'C1CI0000002734',key:'C1CI0000002734',%20callerTicket:%20'',%20userKey:%20'',_menu:'moduli',kind:''%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kernel.go('bd',%7bmask:'main',opera:'C1',id:'C1CI0000002482',key:'C1CI0000002482',%20callerTicket:%20'',%20userKey:%20'',_menu:'moduli',kind:''%7d)" TargetMode="External"/><Relationship Id="rId11" Type="http://schemas.openxmlformats.org/officeDocument/2006/relationships/hyperlink" Target="javascript:kernel.go('bd',%7bmask:'main',opera:'C1',id:'C1CI0000002206',key:'C1CI0000002206',%20callerTicket:%20'',%20userKey:%20'',_menu:'moduli',kind:''%7d)" TargetMode="External"/><Relationship Id="rId5" Type="http://schemas.openxmlformats.org/officeDocument/2006/relationships/hyperlink" Target="javascript:kernel.go('bd',%7bmask:'main',opera:'C1',id:'C1CI0000002413',key:'C1CI0000002413',%20callerTicket:%20'',%20userKey:%20'',_menu:'moduli',kind:''%7d)" TargetMode="External"/><Relationship Id="rId15" Type="http://schemas.openxmlformats.org/officeDocument/2006/relationships/theme" Target="theme/theme1.xml"/><Relationship Id="rId10" Type="http://schemas.openxmlformats.org/officeDocument/2006/relationships/hyperlink" Target="javascript:kernel.go('bd',%7bmask:'main',opera:'C1',id:'C1CI0000002206',key:'C1CI0000002206',%20callerTicket:%20'',%20userKey:%20'',_menu:'moduli',kind:''%7d)" TargetMode="External"/><Relationship Id="rId4" Type="http://schemas.openxmlformats.org/officeDocument/2006/relationships/webSettings" Target="webSettings.xml"/><Relationship Id="rId9" Type="http://schemas.openxmlformats.org/officeDocument/2006/relationships/hyperlink" Target="javascript:kernel.go('bd',%7bmask:'main',opera:'C1',id:'C1CI0000002413',key:'C1CI0000002413',%20callerTicket:%20'',%20userKey:%20'',_menu:'moduli',kind:''%7d)"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892</Words>
  <Characters>5086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6</cp:revision>
  <dcterms:created xsi:type="dcterms:W3CDTF">2020-06-26T22:43:00Z</dcterms:created>
  <dcterms:modified xsi:type="dcterms:W3CDTF">2023-05-09T10:49:00Z</dcterms:modified>
</cp:coreProperties>
</file>