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CAAC7" w14:textId="64EC7E98" w:rsidR="009D4EED" w:rsidRPr="0081564B" w:rsidRDefault="00075B07" w:rsidP="00A02FA8">
      <w:pPr>
        <w:spacing w:line="240" w:lineRule="auto"/>
        <w:jc w:val="center"/>
        <w:rPr>
          <w:rFonts w:ascii="Times New Roman" w:hAnsi="Times New Roman" w:cs="Times New Roman"/>
          <w:b/>
          <w:bCs/>
          <w:smallCaps/>
          <w:sz w:val="24"/>
          <w:szCs w:val="24"/>
        </w:rPr>
      </w:pPr>
      <w:r w:rsidRPr="0081564B">
        <w:rPr>
          <w:rFonts w:ascii="Times New Roman" w:hAnsi="Times New Roman" w:cs="Times New Roman"/>
          <w:b/>
          <w:bCs/>
          <w:smallCaps/>
          <w:sz w:val="24"/>
          <w:szCs w:val="24"/>
        </w:rPr>
        <w:t xml:space="preserve">POLITICA DI COESIONE E CAPACITÀ ISTITUZIONALE: EVIDENZE, CRITICITÀ E </w:t>
      </w:r>
      <w:r w:rsidRPr="00075B07">
        <w:rPr>
          <w:rFonts w:ascii="Times New Roman" w:hAnsi="Times New Roman" w:cs="Times New Roman"/>
          <w:b/>
          <w:bCs/>
          <w:smallCaps/>
          <w:sz w:val="24"/>
          <w:szCs w:val="24"/>
        </w:rPr>
        <w:t>L’ESPERIENZA DE</w:t>
      </w:r>
      <w:r>
        <w:rPr>
          <w:rFonts w:ascii="Times New Roman" w:hAnsi="Times New Roman" w:cs="Times New Roman"/>
          <w:b/>
          <w:bCs/>
          <w:smallCaps/>
          <w:sz w:val="24"/>
          <w:szCs w:val="24"/>
        </w:rPr>
        <w:t>L</w:t>
      </w:r>
      <w:r w:rsidRPr="00075B07">
        <w:rPr>
          <w:rFonts w:ascii="Times New Roman" w:hAnsi="Times New Roman" w:cs="Times New Roman"/>
          <w:b/>
          <w:bCs/>
          <w:smallCaps/>
          <w:sz w:val="24"/>
          <w:szCs w:val="24"/>
        </w:rPr>
        <w:t xml:space="preserve"> </w:t>
      </w:r>
      <w:r>
        <w:rPr>
          <w:rFonts w:ascii="Times New Roman" w:hAnsi="Times New Roman" w:cs="Times New Roman"/>
          <w:b/>
          <w:bCs/>
          <w:smallCaps/>
          <w:sz w:val="24"/>
          <w:szCs w:val="24"/>
        </w:rPr>
        <w:t>“</w:t>
      </w:r>
      <w:r w:rsidRPr="00075B07">
        <w:rPr>
          <w:rFonts w:ascii="Times New Roman" w:hAnsi="Times New Roman" w:cs="Times New Roman"/>
          <w:b/>
          <w:bCs/>
          <w:smallCaps/>
          <w:sz w:val="24"/>
          <w:szCs w:val="24"/>
        </w:rPr>
        <w:t>CENTR</w:t>
      </w:r>
      <w:r>
        <w:rPr>
          <w:rFonts w:ascii="Times New Roman" w:hAnsi="Times New Roman" w:cs="Times New Roman"/>
          <w:b/>
          <w:bCs/>
          <w:smallCaps/>
          <w:sz w:val="24"/>
          <w:szCs w:val="24"/>
        </w:rPr>
        <w:t>O</w:t>
      </w:r>
      <w:r w:rsidRPr="00075B07">
        <w:rPr>
          <w:rFonts w:ascii="Times New Roman" w:hAnsi="Times New Roman" w:cs="Times New Roman"/>
          <w:b/>
          <w:bCs/>
          <w:smallCaps/>
          <w:sz w:val="24"/>
          <w:szCs w:val="24"/>
        </w:rPr>
        <w:t xml:space="preserve"> </w:t>
      </w:r>
      <w:r>
        <w:rPr>
          <w:rFonts w:ascii="Times New Roman" w:hAnsi="Times New Roman" w:cs="Times New Roman"/>
          <w:b/>
          <w:bCs/>
          <w:smallCaps/>
          <w:sz w:val="24"/>
          <w:szCs w:val="24"/>
        </w:rPr>
        <w:t xml:space="preserve">SERVIZI </w:t>
      </w:r>
      <w:r w:rsidRPr="00075B07">
        <w:rPr>
          <w:rFonts w:ascii="Times New Roman" w:hAnsi="Times New Roman" w:cs="Times New Roman"/>
          <w:b/>
          <w:bCs/>
          <w:smallCaps/>
          <w:sz w:val="24"/>
          <w:szCs w:val="24"/>
        </w:rPr>
        <w:t>DI SUPPORTO TERRITORIAL</w:t>
      </w:r>
      <w:r>
        <w:rPr>
          <w:rFonts w:ascii="Times New Roman" w:hAnsi="Times New Roman" w:cs="Times New Roman"/>
          <w:b/>
          <w:bCs/>
          <w:smallCaps/>
          <w:sz w:val="24"/>
          <w:szCs w:val="24"/>
        </w:rPr>
        <w:t>E”</w:t>
      </w:r>
    </w:p>
    <w:p w14:paraId="3D15349B" w14:textId="77777777" w:rsidR="0081564B" w:rsidRDefault="0081564B" w:rsidP="00A02FA8">
      <w:pPr>
        <w:spacing w:line="240" w:lineRule="auto"/>
        <w:jc w:val="center"/>
        <w:rPr>
          <w:rFonts w:ascii="Times New Roman" w:hAnsi="Times New Roman" w:cs="Times New Roman"/>
          <w:b/>
          <w:bCs/>
          <w:sz w:val="24"/>
          <w:szCs w:val="24"/>
        </w:rPr>
      </w:pPr>
    </w:p>
    <w:p w14:paraId="6EA4AB89" w14:textId="021B6B21" w:rsidR="00B53FD9" w:rsidRDefault="00B53FD9" w:rsidP="0081564B">
      <w:pPr>
        <w:spacing w:line="240" w:lineRule="auto"/>
        <w:jc w:val="right"/>
        <w:rPr>
          <w:rFonts w:ascii="Times New Roman" w:hAnsi="Times New Roman" w:cs="Times New Roman"/>
          <w:b/>
          <w:bCs/>
          <w:sz w:val="24"/>
          <w:szCs w:val="24"/>
        </w:rPr>
      </w:pPr>
      <w:r w:rsidRPr="0081564B">
        <w:rPr>
          <w:rFonts w:ascii="Times New Roman" w:hAnsi="Times New Roman" w:cs="Times New Roman"/>
          <w:b/>
          <w:bCs/>
          <w:sz w:val="24"/>
          <w:szCs w:val="24"/>
        </w:rPr>
        <w:t>Tommaso Pizzella</w:t>
      </w:r>
    </w:p>
    <w:p w14:paraId="735018CE" w14:textId="77777777" w:rsidR="0081564B" w:rsidRDefault="0081564B" w:rsidP="0081564B">
      <w:pPr>
        <w:spacing w:line="240" w:lineRule="auto"/>
        <w:jc w:val="right"/>
        <w:rPr>
          <w:rFonts w:ascii="Times New Roman" w:hAnsi="Times New Roman" w:cs="Times New Roman"/>
          <w:b/>
          <w:bCs/>
          <w:sz w:val="24"/>
          <w:szCs w:val="24"/>
        </w:rPr>
      </w:pPr>
    </w:p>
    <w:p w14:paraId="46D9B9F1" w14:textId="7880D814" w:rsidR="0081564B" w:rsidRDefault="0081564B" w:rsidP="0081564B">
      <w:pPr>
        <w:spacing w:line="240" w:lineRule="auto"/>
        <w:jc w:val="right"/>
        <w:rPr>
          <w:rFonts w:ascii="Times New Roman" w:hAnsi="Times New Roman" w:cs="Times New Roman"/>
          <w:b/>
          <w:bCs/>
          <w:sz w:val="24"/>
          <w:szCs w:val="24"/>
        </w:rPr>
      </w:pPr>
      <w:r w:rsidRPr="0081564B">
        <w:rPr>
          <w:rFonts w:ascii="Times New Roman" w:hAnsi="Times New Roman" w:cs="Times New Roman"/>
          <w:b/>
          <w:bCs/>
          <w:sz w:val="24"/>
          <w:szCs w:val="24"/>
        </w:rPr>
        <w:t>Università degli studi di Napoli Federico II</w:t>
      </w:r>
      <w:r>
        <w:rPr>
          <w:rFonts w:ascii="Times New Roman" w:hAnsi="Times New Roman" w:cs="Times New Roman"/>
          <w:b/>
          <w:bCs/>
          <w:sz w:val="24"/>
          <w:szCs w:val="24"/>
        </w:rPr>
        <w:t>, Dipartimento di Scienze Politiche,</w:t>
      </w:r>
      <w:r w:rsidRPr="0081564B">
        <w:rPr>
          <w:rFonts w:ascii="Times New Roman" w:hAnsi="Times New Roman" w:cs="Times New Roman"/>
          <w:b/>
          <w:bCs/>
          <w:sz w:val="24"/>
          <w:szCs w:val="24"/>
        </w:rPr>
        <w:t xml:space="preserve"> Dottora</w:t>
      </w:r>
      <w:r>
        <w:rPr>
          <w:rFonts w:ascii="Times New Roman" w:hAnsi="Times New Roman" w:cs="Times New Roman"/>
          <w:b/>
          <w:bCs/>
          <w:sz w:val="24"/>
          <w:szCs w:val="24"/>
        </w:rPr>
        <w:t>to i</w:t>
      </w:r>
      <w:r w:rsidRPr="0081564B">
        <w:rPr>
          <w:rFonts w:ascii="Times New Roman" w:hAnsi="Times New Roman" w:cs="Times New Roman"/>
          <w:b/>
          <w:bCs/>
          <w:sz w:val="24"/>
          <w:szCs w:val="24"/>
        </w:rPr>
        <w:t>n Politiche Pubbliche di Coesione e Convergenza nello Scenario Europeo,</w:t>
      </w:r>
      <w:r>
        <w:rPr>
          <w:rFonts w:ascii="Times New Roman" w:hAnsi="Times New Roman" w:cs="Times New Roman"/>
          <w:b/>
          <w:bCs/>
          <w:sz w:val="24"/>
          <w:szCs w:val="24"/>
        </w:rPr>
        <w:t xml:space="preserve"> </w:t>
      </w:r>
      <w:r w:rsidRPr="0081564B">
        <w:rPr>
          <w:rFonts w:ascii="Times New Roman" w:hAnsi="Times New Roman" w:cs="Times New Roman"/>
          <w:b/>
          <w:bCs/>
          <w:sz w:val="24"/>
          <w:szCs w:val="24"/>
        </w:rPr>
        <w:t>XXXVIII ciclo</w:t>
      </w:r>
      <w:r>
        <w:rPr>
          <w:rFonts w:ascii="Times New Roman" w:hAnsi="Times New Roman" w:cs="Times New Roman"/>
          <w:b/>
          <w:bCs/>
          <w:sz w:val="24"/>
          <w:szCs w:val="24"/>
        </w:rPr>
        <w:t xml:space="preserve">, Napoli, Italia; </w:t>
      </w:r>
      <w:hyperlink r:id="rId8" w:history="1">
        <w:r w:rsidR="00DD1467" w:rsidRPr="000675E6">
          <w:rPr>
            <w:rStyle w:val="Collegamentoipertestuale"/>
            <w:rFonts w:ascii="Times New Roman" w:hAnsi="Times New Roman" w:cs="Times New Roman"/>
            <w:b/>
            <w:bCs/>
            <w:sz w:val="24"/>
            <w:szCs w:val="24"/>
          </w:rPr>
          <w:t>tommaso.pizzella@unina.it</w:t>
        </w:r>
      </w:hyperlink>
    </w:p>
    <w:p w14:paraId="409C5EC8" w14:textId="77777777" w:rsidR="00DD1467" w:rsidRDefault="00DD1467" w:rsidP="0081564B">
      <w:pPr>
        <w:spacing w:line="240" w:lineRule="auto"/>
        <w:jc w:val="right"/>
        <w:rPr>
          <w:rFonts w:ascii="Times New Roman" w:hAnsi="Times New Roman" w:cs="Times New Roman"/>
          <w:b/>
          <w:bCs/>
          <w:sz w:val="24"/>
          <w:szCs w:val="24"/>
        </w:rPr>
      </w:pPr>
    </w:p>
    <w:p w14:paraId="61598021" w14:textId="4A621D6A" w:rsidR="00DD1467" w:rsidRDefault="00DD1467" w:rsidP="00DD1467">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Abstract </w:t>
      </w:r>
    </w:p>
    <w:p w14:paraId="71DC50FC" w14:textId="033285E8" w:rsidR="00DD1467" w:rsidRPr="00DD1467" w:rsidRDefault="00DD1467" w:rsidP="00DD1467">
      <w:pPr>
        <w:spacing w:line="240" w:lineRule="auto"/>
        <w:jc w:val="both"/>
        <w:rPr>
          <w:rFonts w:ascii="Times New Roman" w:hAnsi="Times New Roman" w:cs="Times New Roman"/>
          <w:sz w:val="24"/>
          <w:szCs w:val="24"/>
        </w:rPr>
      </w:pPr>
      <w:r w:rsidRPr="00DD1467">
        <w:rPr>
          <w:rFonts w:ascii="Times New Roman" w:hAnsi="Times New Roman" w:cs="Times New Roman"/>
          <w:sz w:val="24"/>
          <w:szCs w:val="24"/>
        </w:rPr>
        <w:t xml:space="preserve">Il paper analizza la Politica di Coesione dell’UE come strumento per ridurre le disparità territoriali e rafforzare la capacità istituzionale. Evidenzia i limiti dei modelli uniformi di </w:t>
      </w:r>
      <w:proofErr w:type="spellStart"/>
      <w:r w:rsidRPr="00DD1467">
        <w:rPr>
          <w:rFonts w:ascii="Times New Roman" w:hAnsi="Times New Roman" w:cs="Times New Roman"/>
          <w:sz w:val="24"/>
          <w:szCs w:val="24"/>
        </w:rPr>
        <w:t>capacity</w:t>
      </w:r>
      <w:proofErr w:type="spellEnd"/>
      <w:r w:rsidRPr="00DD1467">
        <w:rPr>
          <w:rFonts w:ascii="Times New Roman" w:hAnsi="Times New Roman" w:cs="Times New Roman"/>
          <w:sz w:val="24"/>
          <w:szCs w:val="24"/>
        </w:rPr>
        <w:t xml:space="preserve"> building, l’importanza dell’innovazione nella Pubblica Amministrazione e il ruolo del </w:t>
      </w:r>
      <w:r>
        <w:rPr>
          <w:rFonts w:ascii="Times New Roman" w:hAnsi="Times New Roman" w:cs="Times New Roman"/>
          <w:sz w:val="24"/>
          <w:szCs w:val="24"/>
        </w:rPr>
        <w:t>“</w:t>
      </w:r>
      <w:r w:rsidRPr="00DD1467">
        <w:rPr>
          <w:rFonts w:ascii="Times New Roman" w:hAnsi="Times New Roman" w:cs="Times New Roman"/>
          <w:sz w:val="24"/>
          <w:szCs w:val="24"/>
        </w:rPr>
        <w:t>Centro Servizi di Supporto Territoriale</w:t>
      </w:r>
      <w:r>
        <w:rPr>
          <w:rFonts w:ascii="Times New Roman" w:hAnsi="Times New Roman" w:cs="Times New Roman"/>
          <w:sz w:val="24"/>
          <w:szCs w:val="24"/>
        </w:rPr>
        <w:t>”</w:t>
      </w:r>
      <w:r w:rsidRPr="00DD1467">
        <w:rPr>
          <w:rFonts w:ascii="Times New Roman" w:hAnsi="Times New Roman" w:cs="Times New Roman"/>
          <w:sz w:val="24"/>
          <w:szCs w:val="24"/>
        </w:rPr>
        <w:t xml:space="preserve"> per potenziare governance locale e sviluppo place-</w:t>
      </w:r>
      <w:proofErr w:type="spellStart"/>
      <w:r w:rsidRPr="00DD1467">
        <w:rPr>
          <w:rFonts w:ascii="Times New Roman" w:hAnsi="Times New Roman" w:cs="Times New Roman"/>
          <w:sz w:val="24"/>
          <w:szCs w:val="24"/>
        </w:rPr>
        <w:t>based</w:t>
      </w:r>
      <w:proofErr w:type="spellEnd"/>
      <w:r w:rsidRPr="00DD1467">
        <w:rPr>
          <w:rFonts w:ascii="Times New Roman" w:hAnsi="Times New Roman" w:cs="Times New Roman"/>
          <w:sz w:val="24"/>
          <w:szCs w:val="24"/>
        </w:rPr>
        <w:t>.</w:t>
      </w:r>
    </w:p>
    <w:p w14:paraId="2C1BCF7B" w14:textId="77777777" w:rsidR="00DD1467" w:rsidRPr="00DD1467" w:rsidRDefault="00DD1467" w:rsidP="00DD1467">
      <w:pPr>
        <w:spacing w:line="240" w:lineRule="auto"/>
        <w:jc w:val="both"/>
        <w:rPr>
          <w:rFonts w:ascii="Times New Roman" w:hAnsi="Times New Roman" w:cs="Times New Roman"/>
          <w:b/>
          <w:bCs/>
          <w:sz w:val="24"/>
          <w:szCs w:val="24"/>
        </w:rPr>
      </w:pPr>
    </w:p>
    <w:p w14:paraId="41F365F2" w14:textId="2ED19910" w:rsidR="00DD1467" w:rsidRPr="00DD1467" w:rsidRDefault="00DD1467" w:rsidP="00DD1467">
      <w:pPr>
        <w:spacing w:line="240" w:lineRule="auto"/>
        <w:jc w:val="both"/>
        <w:rPr>
          <w:rFonts w:ascii="Times New Roman" w:hAnsi="Times New Roman" w:cs="Times New Roman"/>
          <w:b/>
          <w:bCs/>
          <w:sz w:val="24"/>
          <w:szCs w:val="24"/>
          <w:lang w:val="en-GB"/>
        </w:rPr>
      </w:pPr>
      <w:r w:rsidRPr="00DD1467">
        <w:rPr>
          <w:rFonts w:ascii="Times New Roman" w:hAnsi="Times New Roman" w:cs="Times New Roman"/>
          <w:b/>
          <w:bCs/>
          <w:sz w:val="24"/>
          <w:szCs w:val="24"/>
          <w:lang w:val="en-GB"/>
        </w:rPr>
        <w:t>Abstract (</w:t>
      </w:r>
      <w:r w:rsidR="00F54386">
        <w:rPr>
          <w:rFonts w:ascii="Times New Roman" w:hAnsi="Times New Roman" w:cs="Times New Roman"/>
          <w:b/>
          <w:bCs/>
          <w:sz w:val="24"/>
          <w:szCs w:val="24"/>
          <w:lang w:val="en-GB"/>
        </w:rPr>
        <w:t>Inglese</w:t>
      </w:r>
      <w:r w:rsidRPr="00DD1467">
        <w:rPr>
          <w:rFonts w:ascii="Times New Roman" w:hAnsi="Times New Roman" w:cs="Times New Roman"/>
          <w:b/>
          <w:bCs/>
          <w:sz w:val="24"/>
          <w:szCs w:val="24"/>
          <w:lang w:val="en-GB"/>
        </w:rPr>
        <w:t>)</w:t>
      </w:r>
    </w:p>
    <w:p w14:paraId="325FD372" w14:textId="204ECAEC" w:rsidR="00DD1467" w:rsidRDefault="00DD1467" w:rsidP="00DD1467">
      <w:pPr>
        <w:spacing w:line="240" w:lineRule="auto"/>
        <w:jc w:val="both"/>
        <w:rPr>
          <w:rFonts w:ascii="Times New Roman" w:hAnsi="Times New Roman" w:cs="Times New Roman"/>
          <w:sz w:val="24"/>
          <w:szCs w:val="24"/>
          <w:lang w:val="en-GB"/>
        </w:rPr>
      </w:pPr>
      <w:r w:rsidRPr="00DD1467">
        <w:rPr>
          <w:rFonts w:ascii="Times New Roman" w:hAnsi="Times New Roman" w:cs="Times New Roman"/>
          <w:sz w:val="24"/>
          <w:szCs w:val="24"/>
          <w:lang w:val="en-GB"/>
        </w:rPr>
        <w:t xml:space="preserve">The paper examines the EU Cohesion Policy as a key instrument to reduce territorial disparities and strengthen institutional capacity. It highlights the limits of standardized capacity-building models, the importance of public sector innovation, and the role of the </w:t>
      </w:r>
      <w:r>
        <w:rPr>
          <w:rFonts w:ascii="Times New Roman" w:hAnsi="Times New Roman" w:cs="Times New Roman"/>
          <w:sz w:val="24"/>
          <w:szCs w:val="24"/>
          <w:lang w:val="en-GB"/>
        </w:rPr>
        <w:t xml:space="preserve">“Centro Servizi di </w:t>
      </w:r>
      <w:proofErr w:type="spellStart"/>
      <w:r>
        <w:rPr>
          <w:rFonts w:ascii="Times New Roman" w:hAnsi="Times New Roman" w:cs="Times New Roman"/>
          <w:sz w:val="24"/>
          <w:szCs w:val="24"/>
          <w:lang w:val="en-GB"/>
        </w:rPr>
        <w:t>Supporto</w:t>
      </w:r>
      <w:proofErr w:type="spellEnd"/>
      <w:r>
        <w:rPr>
          <w:rFonts w:ascii="Times New Roman" w:hAnsi="Times New Roman" w:cs="Times New Roman"/>
          <w:sz w:val="24"/>
          <w:szCs w:val="24"/>
          <w:lang w:val="en-GB"/>
        </w:rPr>
        <w:t xml:space="preserve"> </w:t>
      </w:r>
      <w:proofErr w:type="spellStart"/>
      <w:r w:rsidR="008E6D66">
        <w:rPr>
          <w:rFonts w:ascii="Times New Roman" w:hAnsi="Times New Roman" w:cs="Times New Roman"/>
          <w:sz w:val="24"/>
          <w:szCs w:val="24"/>
          <w:lang w:val="en-GB"/>
        </w:rPr>
        <w:t>Territoriale</w:t>
      </w:r>
      <w:proofErr w:type="spellEnd"/>
      <w:r w:rsidR="008E6D66">
        <w:rPr>
          <w:rFonts w:ascii="Times New Roman" w:hAnsi="Times New Roman" w:cs="Times New Roman"/>
          <w:sz w:val="24"/>
          <w:szCs w:val="24"/>
          <w:lang w:val="en-GB"/>
        </w:rPr>
        <w:t xml:space="preserve">” </w:t>
      </w:r>
      <w:r w:rsidR="008E6D66" w:rsidRPr="00DD1467">
        <w:rPr>
          <w:rFonts w:ascii="Times New Roman" w:hAnsi="Times New Roman" w:cs="Times New Roman"/>
          <w:sz w:val="24"/>
          <w:szCs w:val="24"/>
          <w:lang w:val="en-GB"/>
        </w:rPr>
        <w:t>in</w:t>
      </w:r>
      <w:r w:rsidRPr="00DD1467">
        <w:rPr>
          <w:rFonts w:ascii="Times New Roman" w:hAnsi="Times New Roman" w:cs="Times New Roman"/>
          <w:sz w:val="24"/>
          <w:szCs w:val="24"/>
          <w:lang w:val="en-GB"/>
        </w:rPr>
        <w:t xml:space="preserve"> enhancing local governance and fostering place-based development strategies.</w:t>
      </w:r>
    </w:p>
    <w:p w14:paraId="60D864B4" w14:textId="77777777" w:rsidR="008E6D66" w:rsidRDefault="008E6D66" w:rsidP="00DD1467">
      <w:pPr>
        <w:spacing w:line="240" w:lineRule="auto"/>
        <w:jc w:val="both"/>
        <w:rPr>
          <w:rFonts w:ascii="Times New Roman" w:hAnsi="Times New Roman" w:cs="Times New Roman"/>
          <w:sz w:val="24"/>
          <w:szCs w:val="24"/>
          <w:lang w:val="en-GB"/>
        </w:rPr>
      </w:pPr>
    </w:p>
    <w:p w14:paraId="4E203FFD" w14:textId="221690E3" w:rsidR="008E6D66" w:rsidRPr="008E6D66" w:rsidRDefault="008E6D66" w:rsidP="00DD1467">
      <w:pPr>
        <w:spacing w:line="240" w:lineRule="auto"/>
        <w:jc w:val="both"/>
        <w:rPr>
          <w:rFonts w:ascii="Times New Roman" w:hAnsi="Times New Roman" w:cs="Times New Roman"/>
          <w:sz w:val="24"/>
          <w:szCs w:val="24"/>
        </w:rPr>
      </w:pPr>
      <w:r w:rsidRPr="008E6D66">
        <w:rPr>
          <w:rFonts w:ascii="Times New Roman" w:hAnsi="Times New Roman" w:cs="Times New Roman"/>
          <w:b/>
          <w:bCs/>
          <w:sz w:val="24"/>
          <w:szCs w:val="24"/>
        </w:rPr>
        <w:t>Parole chiave</w:t>
      </w:r>
      <w:r w:rsidRPr="008E6D66">
        <w:rPr>
          <w:rFonts w:ascii="Times New Roman" w:hAnsi="Times New Roman" w:cs="Times New Roman"/>
          <w:sz w:val="24"/>
          <w:szCs w:val="24"/>
        </w:rPr>
        <w:t>: Politica di Coesione; Capacità istituzionale; Pub</w:t>
      </w:r>
      <w:r>
        <w:rPr>
          <w:rFonts w:ascii="Times New Roman" w:hAnsi="Times New Roman" w:cs="Times New Roman"/>
          <w:sz w:val="24"/>
          <w:szCs w:val="24"/>
        </w:rPr>
        <w:t xml:space="preserve">blica Amministrazione; </w:t>
      </w:r>
      <w:r w:rsidR="00075B07">
        <w:rPr>
          <w:rFonts w:ascii="Times New Roman" w:hAnsi="Times New Roman" w:cs="Times New Roman"/>
          <w:sz w:val="24"/>
          <w:szCs w:val="24"/>
        </w:rPr>
        <w:t>E</w:t>
      </w:r>
      <w:r>
        <w:rPr>
          <w:rFonts w:ascii="Times New Roman" w:hAnsi="Times New Roman" w:cs="Times New Roman"/>
          <w:sz w:val="24"/>
          <w:szCs w:val="24"/>
        </w:rPr>
        <w:t xml:space="preserve">nti locali; </w:t>
      </w:r>
      <w:r w:rsidR="00075B07">
        <w:rPr>
          <w:rFonts w:ascii="Times New Roman" w:hAnsi="Times New Roman" w:cs="Times New Roman"/>
          <w:sz w:val="24"/>
          <w:szCs w:val="24"/>
        </w:rPr>
        <w:t>I</w:t>
      </w:r>
      <w:r>
        <w:rPr>
          <w:rFonts w:ascii="Times New Roman" w:hAnsi="Times New Roman" w:cs="Times New Roman"/>
          <w:sz w:val="24"/>
          <w:szCs w:val="24"/>
        </w:rPr>
        <w:t>nnovazione</w:t>
      </w:r>
      <w:r w:rsidRPr="008E6D66">
        <w:rPr>
          <w:rFonts w:ascii="Times New Roman" w:hAnsi="Times New Roman" w:cs="Times New Roman"/>
          <w:sz w:val="24"/>
          <w:szCs w:val="24"/>
        </w:rPr>
        <w:t xml:space="preserve"> </w:t>
      </w:r>
    </w:p>
    <w:p w14:paraId="242FE480" w14:textId="77777777" w:rsidR="00A02FA8" w:rsidRPr="008E6D66" w:rsidRDefault="00A02FA8" w:rsidP="00A02FA8">
      <w:pPr>
        <w:spacing w:line="240" w:lineRule="auto"/>
        <w:jc w:val="center"/>
        <w:rPr>
          <w:rFonts w:ascii="Times New Roman" w:hAnsi="Times New Roman" w:cs="Times New Roman"/>
          <w:b/>
          <w:bCs/>
          <w:sz w:val="24"/>
          <w:szCs w:val="24"/>
        </w:rPr>
      </w:pPr>
    </w:p>
    <w:p w14:paraId="1AC3F863" w14:textId="5002CE50" w:rsidR="0047238B" w:rsidRPr="008D16A6" w:rsidRDefault="000F1B70" w:rsidP="008D16A6">
      <w:pPr>
        <w:pStyle w:val="Paragrafoelenco"/>
        <w:numPr>
          <w:ilvl w:val="0"/>
          <w:numId w:val="12"/>
        </w:numPr>
        <w:spacing w:line="240" w:lineRule="auto"/>
        <w:jc w:val="both"/>
        <w:rPr>
          <w:rFonts w:ascii="Times New Roman" w:hAnsi="Times New Roman" w:cs="Times New Roman"/>
          <w:b/>
          <w:bCs/>
          <w:sz w:val="24"/>
          <w:szCs w:val="24"/>
        </w:rPr>
      </w:pPr>
      <w:r w:rsidRPr="008D16A6">
        <w:rPr>
          <w:rFonts w:ascii="Times New Roman" w:hAnsi="Times New Roman" w:cs="Times New Roman"/>
          <w:b/>
          <w:bCs/>
          <w:sz w:val="24"/>
          <w:szCs w:val="24"/>
        </w:rPr>
        <w:t xml:space="preserve">Introduzione </w:t>
      </w:r>
    </w:p>
    <w:p w14:paraId="69B0FFCC" w14:textId="49FE0CC3" w:rsidR="00177869" w:rsidRPr="008D16A6" w:rsidRDefault="0047238B" w:rsidP="008D16A6">
      <w:pPr>
        <w:spacing w:line="240" w:lineRule="auto"/>
        <w:jc w:val="both"/>
        <w:rPr>
          <w:rFonts w:ascii="Times New Roman" w:hAnsi="Times New Roman" w:cs="Times New Roman"/>
          <w:sz w:val="24"/>
          <w:szCs w:val="24"/>
        </w:rPr>
      </w:pPr>
      <w:r w:rsidRPr="008D16A6">
        <w:rPr>
          <w:rFonts w:ascii="Times New Roman" w:hAnsi="Times New Roman" w:cs="Times New Roman"/>
          <w:sz w:val="24"/>
          <w:szCs w:val="24"/>
        </w:rPr>
        <w:t>L'U</w:t>
      </w:r>
      <w:r w:rsidR="00D82D03" w:rsidRPr="008D16A6">
        <w:rPr>
          <w:rFonts w:ascii="Times New Roman" w:hAnsi="Times New Roman" w:cs="Times New Roman"/>
          <w:sz w:val="24"/>
          <w:szCs w:val="24"/>
        </w:rPr>
        <w:t xml:space="preserve">nione </w:t>
      </w:r>
      <w:r w:rsidRPr="008D16A6">
        <w:rPr>
          <w:rFonts w:ascii="Times New Roman" w:hAnsi="Times New Roman" w:cs="Times New Roman"/>
          <w:sz w:val="24"/>
          <w:szCs w:val="24"/>
        </w:rPr>
        <w:t>E</w:t>
      </w:r>
      <w:r w:rsidR="00D82D03" w:rsidRPr="008D16A6">
        <w:rPr>
          <w:rFonts w:ascii="Times New Roman" w:hAnsi="Times New Roman" w:cs="Times New Roman"/>
          <w:sz w:val="24"/>
          <w:szCs w:val="24"/>
        </w:rPr>
        <w:t>uropea (UE)</w:t>
      </w:r>
      <w:r w:rsidRPr="008D16A6">
        <w:rPr>
          <w:rFonts w:ascii="Times New Roman" w:hAnsi="Times New Roman" w:cs="Times New Roman"/>
          <w:sz w:val="24"/>
          <w:szCs w:val="24"/>
        </w:rPr>
        <w:t xml:space="preserve"> è stata fondata sui valori di solidarietà, pari opportunità e coesione.</w:t>
      </w:r>
      <w:r w:rsidR="009468A5" w:rsidRPr="008D16A6">
        <w:rPr>
          <w:rFonts w:ascii="Times New Roman" w:hAnsi="Times New Roman" w:cs="Times New Roman"/>
          <w:sz w:val="24"/>
          <w:szCs w:val="24"/>
        </w:rPr>
        <w:t xml:space="preserve"> </w:t>
      </w:r>
      <w:r w:rsidRPr="008D16A6">
        <w:rPr>
          <w:rFonts w:ascii="Times New Roman" w:hAnsi="Times New Roman" w:cs="Times New Roman"/>
          <w:sz w:val="24"/>
          <w:szCs w:val="24"/>
        </w:rPr>
        <w:t>Fin dall'inizio, il Trattato di Roma si è posto l'obiettivo di “ridurre le</w:t>
      </w:r>
      <w:r w:rsidR="009468A5" w:rsidRPr="008D16A6">
        <w:rPr>
          <w:rFonts w:ascii="Times New Roman" w:hAnsi="Times New Roman" w:cs="Times New Roman"/>
          <w:sz w:val="24"/>
          <w:szCs w:val="24"/>
        </w:rPr>
        <w:t xml:space="preserve"> </w:t>
      </w:r>
      <w:r w:rsidRPr="008D16A6">
        <w:rPr>
          <w:rFonts w:ascii="Times New Roman" w:hAnsi="Times New Roman" w:cs="Times New Roman"/>
          <w:sz w:val="24"/>
          <w:szCs w:val="24"/>
        </w:rPr>
        <w:t>differenze esistenti tra le varie regioni e l'arretratezza delle region</w:t>
      </w:r>
      <w:r w:rsidR="009468A5" w:rsidRPr="008D16A6">
        <w:rPr>
          <w:rFonts w:ascii="Times New Roman" w:hAnsi="Times New Roman" w:cs="Times New Roman"/>
          <w:sz w:val="24"/>
          <w:szCs w:val="24"/>
        </w:rPr>
        <w:t xml:space="preserve">i </w:t>
      </w:r>
      <w:r w:rsidRPr="008D16A6">
        <w:rPr>
          <w:rFonts w:ascii="Times New Roman" w:hAnsi="Times New Roman" w:cs="Times New Roman"/>
          <w:sz w:val="24"/>
          <w:szCs w:val="24"/>
        </w:rPr>
        <w:t xml:space="preserve">meno </w:t>
      </w:r>
      <w:r w:rsidR="009468A5" w:rsidRPr="008D16A6">
        <w:rPr>
          <w:rFonts w:ascii="Times New Roman" w:hAnsi="Times New Roman" w:cs="Times New Roman"/>
          <w:sz w:val="24"/>
          <w:szCs w:val="24"/>
        </w:rPr>
        <w:t>favorite</w:t>
      </w:r>
      <w:r w:rsidRPr="008D16A6">
        <w:rPr>
          <w:rFonts w:ascii="Times New Roman" w:hAnsi="Times New Roman" w:cs="Times New Roman"/>
          <w:sz w:val="24"/>
          <w:szCs w:val="24"/>
        </w:rPr>
        <w:t>”</w:t>
      </w:r>
      <w:r w:rsidR="009468A5" w:rsidRPr="008D16A6">
        <w:rPr>
          <w:rFonts w:ascii="Times New Roman" w:hAnsi="Times New Roman" w:cs="Times New Roman"/>
          <w:sz w:val="24"/>
          <w:szCs w:val="24"/>
        </w:rPr>
        <w:t xml:space="preserve"> (Trattato di Roma, 1957)</w:t>
      </w:r>
      <w:r w:rsidRPr="008D16A6">
        <w:rPr>
          <w:rFonts w:ascii="Times New Roman" w:hAnsi="Times New Roman" w:cs="Times New Roman"/>
          <w:sz w:val="24"/>
          <w:szCs w:val="24"/>
        </w:rPr>
        <w:t xml:space="preserve">. </w:t>
      </w:r>
      <w:r w:rsidR="00AD0B2B" w:rsidRPr="008D16A6">
        <w:rPr>
          <w:rFonts w:ascii="Times New Roman" w:hAnsi="Times New Roman" w:cs="Times New Roman"/>
          <w:sz w:val="24"/>
          <w:szCs w:val="24"/>
        </w:rPr>
        <w:t xml:space="preserve">L’UE si confronta con grandi disparità di ricchezza che hanno portato e continuano a portare problemi sociali e politici. </w:t>
      </w:r>
      <w:r w:rsidR="00FA5890" w:rsidRPr="008D16A6">
        <w:rPr>
          <w:rFonts w:ascii="Times New Roman" w:hAnsi="Times New Roman" w:cs="Times New Roman"/>
          <w:sz w:val="24"/>
          <w:szCs w:val="24"/>
        </w:rPr>
        <w:t>Queste ampie disparità sono spesso percepite come moralmente ingiuste e possono generare malcontento. In alcuni casi, tale malcontento assume forme molto violente</w:t>
      </w:r>
      <w:r w:rsidR="00BF1989" w:rsidRPr="008D16A6">
        <w:rPr>
          <w:rFonts w:ascii="Times New Roman" w:hAnsi="Times New Roman" w:cs="Times New Roman"/>
          <w:sz w:val="24"/>
          <w:szCs w:val="24"/>
        </w:rPr>
        <w:t>; i</w:t>
      </w:r>
      <w:r w:rsidR="00FA5890" w:rsidRPr="008D16A6">
        <w:rPr>
          <w:rFonts w:ascii="Times New Roman" w:hAnsi="Times New Roman" w:cs="Times New Roman"/>
          <w:sz w:val="24"/>
          <w:szCs w:val="24"/>
        </w:rPr>
        <w:t>n altri si traduce in assenza di sostegno, che</w:t>
      </w:r>
      <w:r w:rsidR="004F0070">
        <w:rPr>
          <w:rFonts w:ascii="Times New Roman" w:hAnsi="Times New Roman" w:cs="Times New Roman"/>
          <w:sz w:val="24"/>
          <w:szCs w:val="24"/>
        </w:rPr>
        <w:t>,</w:t>
      </w:r>
      <w:r w:rsidR="00FA5890" w:rsidRPr="008D16A6">
        <w:rPr>
          <w:rFonts w:ascii="Times New Roman" w:hAnsi="Times New Roman" w:cs="Times New Roman"/>
          <w:sz w:val="24"/>
          <w:szCs w:val="24"/>
        </w:rPr>
        <w:t xml:space="preserve"> a livello dell’UE</w:t>
      </w:r>
      <w:r w:rsidR="004F0070">
        <w:rPr>
          <w:rFonts w:ascii="Times New Roman" w:hAnsi="Times New Roman" w:cs="Times New Roman"/>
          <w:sz w:val="24"/>
          <w:szCs w:val="24"/>
        </w:rPr>
        <w:t>,</w:t>
      </w:r>
      <w:r w:rsidR="00FA5890" w:rsidRPr="008D16A6">
        <w:rPr>
          <w:rFonts w:ascii="Times New Roman" w:hAnsi="Times New Roman" w:cs="Times New Roman"/>
          <w:sz w:val="24"/>
          <w:szCs w:val="24"/>
        </w:rPr>
        <w:t xml:space="preserve"> può riflettersi in una mancanza di progressi nel progetto europeo. Pertanto, per ragioni economiche, morali e politiche, queste disparità rappresentano un problema</w:t>
      </w:r>
      <w:r w:rsidR="00F54386" w:rsidRPr="008D16A6">
        <w:rPr>
          <w:rStyle w:val="Rimandonotadichiusura"/>
          <w:rFonts w:ascii="Times New Roman" w:hAnsi="Times New Roman" w:cs="Times New Roman"/>
          <w:sz w:val="24"/>
          <w:szCs w:val="24"/>
        </w:rPr>
        <w:endnoteReference w:id="1"/>
      </w:r>
      <w:r w:rsidR="00F54386" w:rsidRPr="008D16A6">
        <w:rPr>
          <w:rFonts w:ascii="Times New Roman" w:hAnsi="Times New Roman" w:cs="Times New Roman"/>
          <w:sz w:val="24"/>
          <w:szCs w:val="24"/>
        </w:rPr>
        <w:t>.</w:t>
      </w:r>
    </w:p>
    <w:p w14:paraId="79F0D083" w14:textId="17FC751F" w:rsidR="00F30B3D" w:rsidRPr="008D16A6" w:rsidRDefault="00177869" w:rsidP="008D16A6">
      <w:pPr>
        <w:spacing w:line="240" w:lineRule="auto"/>
        <w:jc w:val="both"/>
        <w:rPr>
          <w:rFonts w:ascii="Times New Roman" w:hAnsi="Times New Roman" w:cs="Times New Roman"/>
          <w:sz w:val="24"/>
          <w:szCs w:val="24"/>
        </w:rPr>
      </w:pPr>
      <w:r w:rsidRPr="008D16A6">
        <w:rPr>
          <w:rFonts w:ascii="Times New Roman" w:hAnsi="Times New Roman" w:cs="Times New Roman"/>
          <w:sz w:val="24"/>
          <w:szCs w:val="24"/>
        </w:rPr>
        <w:t>L</w:t>
      </w:r>
      <w:r w:rsidR="00F30B3D" w:rsidRPr="008D16A6">
        <w:rPr>
          <w:rFonts w:ascii="Times New Roman" w:hAnsi="Times New Roman" w:cs="Times New Roman"/>
          <w:sz w:val="24"/>
          <w:szCs w:val="24"/>
        </w:rPr>
        <w:t xml:space="preserve">’articolo 174 del </w:t>
      </w:r>
      <w:r w:rsidR="00812B85" w:rsidRPr="008D16A6">
        <w:rPr>
          <w:rFonts w:ascii="Times New Roman" w:hAnsi="Times New Roman" w:cs="Times New Roman"/>
          <w:sz w:val="24"/>
          <w:szCs w:val="24"/>
        </w:rPr>
        <w:t>T</w:t>
      </w:r>
      <w:r w:rsidR="00F30B3D" w:rsidRPr="008D16A6">
        <w:rPr>
          <w:rFonts w:ascii="Times New Roman" w:hAnsi="Times New Roman" w:cs="Times New Roman"/>
          <w:sz w:val="24"/>
          <w:szCs w:val="24"/>
        </w:rPr>
        <w:t xml:space="preserve">rattato sul </w:t>
      </w:r>
      <w:r w:rsidR="00812B85" w:rsidRPr="008D16A6">
        <w:rPr>
          <w:rFonts w:ascii="Times New Roman" w:hAnsi="Times New Roman" w:cs="Times New Roman"/>
          <w:sz w:val="24"/>
          <w:szCs w:val="24"/>
        </w:rPr>
        <w:t>F</w:t>
      </w:r>
      <w:r w:rsidR="00F30B3D" w:rsidRPr="008D16A6">
        <w:rPr>
          <w:rFonts w:ascii="Times New Roman" w:hAnsi="Times New Roman" w:cs="Times New Roman"/>
          <w:sz w:val="24"/>
          <w:szCs w:val="24"/>
        </w:rPr>
        <w:t xml:space="preserve">unzionamento dell’Unione </w:t>
      </w:r>
      <w:r w:rsidR="00812B85" w:rsidRPr="008D16A6">
        <w:rPr>
          <w:rFonts w:ascii="Times New Roman" w:hAnsi="Times New Roman" w:cs="Times New Roman"/>
          <w:sz w:val="24"/>
          <w:szCs w:val="24"/>
        </w:rPr>
        <w:t>E</w:t>
      </w:r>
      <w:r w:rsidR="00F30B3D" w:rsidRPr="008D16A6">
        <w:rPr>
          <w:rFonts w:ascii="Times New Roman" w:hAnsi="Times New Roman" w:cs="Times New Roman"/>
          <w:sz w:val="24"/>
          <w:szCs w:val="24"/>
        </w:rPr>
        <w:t>uropea (TFUE) ha sancito la base giuridica</w:t>
      </w:r>
      <w:r w:rsidR="00532818" w:rsidRPr="008D16A6">
        <w:rPr>
          <w:rFonts w:ascii="Times New Roman" w:hAnsi="Times New Roman" w:cs="Times New Roman"/>
          <w:sz w:val="24"/>
          <w:szCs w:val="24"/>
        </w:rPr>
        <w:t xml:space="preserve"> </w:t>
      </w:r>
      <w:r w:rsidR="008D16A6">
        <w:rPr>
          <w:rFonts w:ascii="Times New Roman" w:hAnsi="Times New Roman" w:cs="Times New Roman"/>
          <w:sz w:val="24"/>
          <w:szCs w:val="24"/>
        </w:rPr>
        <w:t xml:space="preserve">per </w:t>
      </w:r>
      <w:r w:rsidR="00532818" w:rsidRPr="008D16A6">
        <w:rPr>
          <w:rFonts w:ascii="Times New Roman" w:hAnsi="Times New Roman" w:cs="Times New Roman"/>
          <w:sz w:val="24"/>
          <w:szCs w:val="24"/>
        </w:rPr>
        <w:t>la</w:t>
      </w:r>
      <w:r w:rsidR="008D16A6">
        <w:rPr>
          <w:rFonts w:ascii="Times New Roman" w:hAnsi="Times New Roman" w:cs="Times New Roman"/>
          <w:sz w:val="24"/>
          <w:szCs w:val="24"/>
        </w:rPr>
        <w:t xml:space="preserve"> nascita della</w:t>
      </w:r>
      <w:r w:rsidR="00532818" w:rsidRPr="008D16A6">
        <w:rPr>
          <w:rFonts w:ascii="Times New Roman" w:hAnsi="Times New Roman" w:cs="Times New Roman"/>
          <w:sz w:val="24"/>
          <w:szCs w:val="24"/>
        </w:rPr>
        <w:t xml:space="preserve"> Politica di Coesione</w:t>
      </w:r>
      <w:r w:rsidR="00075B07">
        <w:rPr>
          <w:rFonts w:ascii="Times New Roman" w:hAnsi="Times New Roman" w:cs="Times New Roman"/>
          <w:sz w:val="24"/>
          <w:szCs w:val="24"/>
        </w:rPr>
        <w:t>, che oggigiorno è la principale politica di investimento europea</w:t>
      </w:r>
      <w:r w:rsidR="008D16A6">
        <w:rPr>
          <w:rFonts w:ascii="Times New Roman" w:hAnsi="Times New Roman" w:cs="Times New Roman"/>
          <w:sz w:val="24"/>
          <w:szCs w:val="24"/>
        </w:rPr>
        <w:t xml:space="preserve">. </w:t>
      </w:r>
      <w:r w:rsidR="00FA5890" w:rsidRPr="008D16A6">
        <w:rPr>
          <w:rFonts w:ascii="Times New Roman" w:hAnsi="Times New Roman" w:cs="Times New Roman"/>
          <w:sz w:val="24"/>
          <w:szCs w:val="24"/>
        </w:rPr>
        <w:t xml:space="preserve">La coesione è un concetto introdotto nella politica </w:t>
      </w:r>
      <w:r w:rsidR="00812B85" w:rsidRPr="008D16A6">
        <w:rPr>
          <w:rFonts w:ascii="Times New Roman" w:hAnsi="Times New Roman" w:cs="Times New Roman"/>
          <w:sz w:val="24"/>
          <w:szCs w:val="24"/>
        </w:rPr>
        <w:t>europea</w:t>
      </w:r>
      <w:r w:rsidR="00FA5890" w:rsidRPr="008D16A6">
        <w:rPr>
          <w:rFonts w:ascii="Times New Roman" w:hAnsi="Times New Roman" w:cs="Times New Roman"/>
          <w:sz w:val="24"/>
          <w:szCs w:val="24"/>
        </w:rPr>
        <w:t xml:space="preserve"> senza una definizione precisa</w:t>
      </w:r>
      <w:r w:rsidR="000F1B70" w:rsidRPr="008D16A6">
        <w:rPr>
          <w:rFonts w:ascii="Times New Roman" w:hAnsi="Times New Roman" w:cs="Times New Roman"/>
          <w:sz w:val="24"/>
          <w:szCs w:val="24"/>
        </w:rPr>
        <w:t xml:space="preserve"> (Viesti e Prota, 2008).</w:t>
      </w:r>
      <w:r w:rsidR="00F30B3D" w:rsidRPr="008D16A6">
        <w:rPr>
          <w:rFonts w:ascii="Times New Roman" w:hAnsi="Times New Roman" w:cs="Times New Roman"/>
          <w:sz w:val="24"/>
          <w:szCs w:val="24"/>
        </w:rPr>
        <w:t xml:space="preserve"> </w:t>
      </w:r>
      <w:r w:rsidR="00A37300" w:rsidRPr="007D22A4">
        <w:rPr>
          <w:rFonts w:ascii="Times New Roman" w:eastAsia="Times New Roman" w:hAnsi="Times New Roman" w:cs="Times New Roman"/>
          <w:kern w:val="0"/>
          <w:sz w:val="24"/>
          <w:szCs w:val="24"/>
          <w:lang w:eastAsia="it-IT"/>
          <w14:ligatures w14:val="none"/>
        </w:rPr>
        <w:t xml:space="preserve">Dalla riforma dei Fondi </w:t>
      </w:r>
      <w:r w:rsidR="00A37300" w:rsidRPr="007D22A4">
        <w:rPr>
          <w:rFonts w:ascii="Times New Roman" w:eastAsia="Times New Roman" w:hAnsi="Times New Roman" w:cs="Times New Roman"/>
          <w:kern w:val="0"/>
          <w:sz w:val="24"/>
          <w:szCs w:val="24"/>
          <w:lang w:eastAsia="it-IT"/>
          <w14:ligatures w14:val="none"/>
        </w:rPr>
        <w:lastRenderedPageBreak/>
        <w:t>Strutturali del 1989, l’UE ha fatto del principio di coesione</w:t>
      </w:r>
      <w:r w:rsidR="000F1B70" w:rsidRPr="008D16A6">
        <w:rPr>
          <w:rFonts w:ascii="Times New Roman" w:eastAsia="Times New Roman" w:hAnsi="Times New Roman" w:cs="Times New Roman"/>
          <w:kern w:val="0"/>
          <w:sz w:val="24"/>
          <w:szCs w:val="24"/>
          <w:lang w:eastAsia="it-IT"/>
          <w14:ligatures w14:val="none"/>
        </w:rPr>
        <w:t xml:space="preserve">, e </w:t>
      </w:r>
      <w:r w:rsidR="00A37300" w:rsidRPr="007D22A4">
        <w:rPr>
          <w:rFonts w:ascii="Times New Roman" w:eastAsia="Times New Roman" w:hAnsi="Times New Roman" w:cs="Times New Roman"/>
          <w:kern w:val="0"/>
          <w:sz w:val="24"/>
          <w:szCs w:val="24"/>
          <w:lang w:eastAsia="it-IT"/>
          <w14:ligatures w14:val="none"/>
        </w:rPr>
        <w:t>cioè la riduzione delle disparità nei risultati economici e nelle opportunità tra le regioni europee</w:t>
      </w:r>
      <w:r w:rsidR="000F1B70" w:rsidRPr="008D16A6">
        <w:rPr>
          <w:rFonts w:ascii="Times New Roman" w:eastAsia="Times New Roman" w:hAnsi="Times New Roman" w:cs="Times New Roman"/>
          <w:kern w:val="0"/>
          <w:sz w:val="24"/>
          <w:szCs w:val="24"/>
          <w:lang w:eastAsia="it-IT"/>
          <w14:ligatures w14:val="none"/>
        </w:rPr>
        <w:t xml:space="preserve">, </w:t>
      </w:r>
      <w:r w:rsidR="00A37300" w:rsidRPr="007D22A4">
        <w:rPr>
          <w:rFonts w:ascii="Times New Roman" w:eastAsia="Times New Roman" w:hAnsi="Times New Roman" w:cs="Times New Roman"/>
          <w:kern w:val="0"/>
          <w:sz w:val="24"/>
          <w:szCs w:val="24"/>
          <w:lang w:eastAsia="it-IT"/>
          <w14:ligatures w14:val="none"/>
        </w:rPr>
        <w:t>una delle sue politiche chiave</w:t>
      </w:r>
      <w:r w:rsidR="008D16A6">
        <w:rPr>
          <w:rFonts w:ascii="Times New Roman" w:eastAsia="Times New Roman" w:hAnsi="Times New Roman" w:cs="Times New Roman"/>
          <w:kern w:val="0"/>
          <w:sz w:val="24"/>
          <w:szCs w:val="24"/>
          <w:lang w:eastAsia="it-IT"/>
          <w14:ligatures w14:val="none"/>
        </w:rPr>
        <w:t xml:space="preserve"> (</w:t>
      </w:r>
      <w:proofErr w:type="spellStart"/>
      <w:r w:rsidR="007455CE" w:rsidRPr="008D16A6">
        <w:rPr>
          <w:rFonts w:ascii="Times New Roman" w:hAnsi="Times New Roman" w:cs="Times New Roman"/>
          <w:sz w:val="24"/>
          <w:szCs w:val="24"/>
        </w:rPr>
        <w:t>Farole</w:t>
      </w:r>
      <w:proofErr w:type="spellEnd"/>
      <w:r w:rsidR="007455CE" w:rsidRPr="008D16A6">
        <w:rPr>
          <w:rFonts w:ascii="Times New Roman" w:hAnsi="Times New Roman" w:cs="Times New Roman"/>
          <w:sz w:val="24"/>
          <w:szCs w:val="24"/>
        </w:rPr>
        <w:t xml:space="preserve"> et al., 2011). </w:t>
      </w:r>
      <w:r w:rsidR="000F1B70" w:rsidRPr="008D16A6">
        <w:rPr>
          <w:rFonts w:ascii="Times New Roman" w:hAnsi="Times New Roman" w:cs="Times New Roman"/>
          <w:sz w:val="24"/>
          <w:szCs w:val="24"/>
        </w:rPr>
        <w:t>D</w:t>
      </w:r>
      <w:r w:rsidR="00812B85" w:rsidRPr="008D16A6">
        <w:rPr>
          <w:rFonts w:ascii="Times New Roman" w:hAnsi="Times New Roman" w:cs="Times New Roman"/>
          <w:sz w:val="24"/>
          <w:szCs w:val="24"/>
        </w:rPr>
        <w:t>alla creazione del Mercato Unico</w:t>
      </w:r>
      <w:r w:rsidR="004F0070">
        <w:rPr>
          <w:rFonts w:ascii="Times New Roman" w:hAnsi="Times New Roman" w:cs="Times New Roman"/>
          <w:sz w:val="24"/>
          <w:szCs w:val="24"/>
        </w:rPr>
        <w:t xml:space="preserve"> </w:t>
      </w:r>
      <w:r w:rsidR="00812B85" w:rsidRPr="008D16A6">
        <w:rPr>
          <w:rFonts w:ascii="Times New Roman" w:hAnsi="Times New Roman" w:cs="Times New Roman"/>
          <w:sz w:val="24"/>
          <w:szCs w:val="24"/>
        </w:rPr>
        <w:t xml:space="preserve">all'Unione Economica e Monetaria, fino ai vari allargamenti, ha sostenuto ogni fase dell'integrazione europea (comprese, negli ultimi anni, le transizioni verdi e digitali). </w:t>
      </w:r>
      <w:r w:rsidR="00F30B3D" w:rsidRPr="008D16A6">
        <w:rPr>
          <w:rFonts w:ascii="Times New Roman" w:hAnsi="Times New Roman" w:cs="Times New Roman"/>
          <w:sz w:val="24"/>
          <w:szCs w:val="24"/>
        </w:rPr>
        <w:t xml:space="preserve">Ha favorito il progresso sociale ed economico in tutta </w:t>
      </w:r>
      <w:r w:rsidRPr="008D16A6">
        <w:rPr>
          <w:rFonts w:ascii="Times New Roman" w:hAnsi="Times New Roman" w:cs="Times New Roman"/>
          <w:sz w:val="24"/>
          <w:szCs w:val="24"/>
        </w:rPr>
        <w:t>l’</w:t>
      </w:r>
      <w:r w:rsidR="00DA62CE" w:rsidRPr="008D16A6">
        <w:rPr>
          <w:rFonts w:ascii="Times New Roman" w:hAnsi="Times New Roman" w:cs="Times New Roman"/>
          <w:sz w:val="24"/>
          <w:szCs w:val="24"/>
        </w:rPr>
        <w:t>U</w:t>
      </w:r>
      <w:r w:rsidRPr="008D16A6">
        <w:rPr>
          <w:rFonts w:ascii="Times New Roman" w:hAnsi="Times New Roman" w:cs="Times New Roman"/>
          <w:sz w:val="24"/>
          <w:szCs w:val="24"/>
        </w:rPr>
        <w:t>nione</w:t>
      </w:r>
      <w:r w:rsidR="000F1B70" w:rsidRPr="008D16A6">
        <w:rPr>
          <w:rFonts w:ascii="Times New Roman" w:hAnsi="Times New Roman" w:cs="Times New Roman"/>
          <w:sz w:val="24"/>
          <w:szCs w:val="24"/>
        </w:rPr>
        <w:t>,</w:t>
      </w:r>
      <w:r w:rsidR="00F30B3D" w:rsidRPr="008D16A6">
        <w:rPr>
          <w:rFonts w:ascii="Times New Roman" w:hAnsi="Times New Roman" w:cs="Times New Roman"/>
          <w:sz w:val="24"/>
          <w:szCs w:val="24"/>
        </w:rPr>
        <w:t xml:space="preserve"> attraverso investimenti adeguati alle condizioni locali e ai problemi strutturali di ciascuna regione. La Politica di Coesione è diventata</w:t>
      </w:r>
      <w:r w:rsidRPr="008D16A6">
        <w:rPr>
          <w:rFonts w:ascii="Times New Roman" w:hAnsi="Times New Roman" w:cs="Times New Roman"/>
          <w:sz w:val="24"/>
          <w:szCs w:val="24"/>
        </w:rPr>
        <w:t>, quindi,</w:t>
      </w:r>
      <w:r w:rsidR="00F30B3D" w:rsidRPr="008D16A6">
        <w:rPr>
          <w:rFonts w:ascii="Times New Roman" w:hAnsi="Times New Roman" w:cs="Times New Roman"/>
          <w:sz w:val="24"/>
          <w:szCs w:val="24"/>
        </w:rPr>
        <w:t xml:space="preserve"> l'approccio più completo e sofisticato allo sviluppo territoriale a livello globale. </w:t>
      </w:r>
      <w:r w:rsidR="00812B85" w:rsidRPr="008D16A6">
        <w:rPr>
          <w:rFonts w:ascii="Times New Roman" w:hAnsi="Times New Roman" w:cs="Times New Roman"/>
          <w:sz w:val="24"/>
          <w:szCs w:val="24"/>
        </w:rPr>
        <w:t xml:space="preserve">Infatti, è stata concepita per promuovere un processo armonioso mirato a favorire sviluppo economico, sociale e territoriale, incanalando gli investimenti nelle regioni con livelli di sviluppo inferiori e/o vulnerabilità specifiche </w:t>
      </w:r>
      <w:r w:rsidR="00F30B3D" w:rsidRPr="008D16A6">
        <w:rPr>
          <w:rFonts w:ascii="Times New Roman" w:hAnsi="Times New Roman" w:cs="Times New Roman"/>
          <w:sz w:val="24"/>
          <w:szCs w:val="24"/>
        </w:rPr>
        <w:t>(</w:t>
      </w:r>
      <w:r w:rsidR="007C7F7D">
        <w:rPr>
          <w:rFonts w:ascii="Times New Roman" w:hAnsi="Times New Roman" w:cs="Times New Roman"/>
          <w:sz w:val="24"/>
          <w:szCs w:val="24"/>
        </w:rPr>
        <w:t xml:space="preserve">Barca, 2009; </w:t>
      </w:r>
      <w:r w:rsidR="00F30B3D" w:rsidRPr="008D16A6">
        <w:rPr>
          <w:rFonts w:ascii="Times New Roman" w:hAnsi="Times New Roman" w:cs="Times New Roman"/>
          <w:sz w:val="24"/>
          <w:szCs w:val="24"/>
        </w:rPr>
        <w:t>EU Commission, 2024)</w:t>
      </w:r>
      <w:r w:rsidR="00812B85" w:rsidRPr="008D16A6">
        <w:rPr>
          <w:rFonts w:ascii="Times New Roman" w:hAnsi="Times New Roman" w:cs="Times New Roman"/>
          <w:sz w:val="24"/>
          <w:szCs w:val="24"/>
        </w:rPr>
        <w:t>.</w:t>
      </w:r>
      <w:r w:rsidR="00F30B3D" w:rsidRPr="008D16A6">
        <w:rPr>
          <w:rFonts w:ascii="Times New Roman" w:hAnsi="Times New Roman" w:cs="Times New Roman"/>
          <w:sz w:val="24"/>
          <w:szCs w:val="24"/>
        </w:rPr>
        <w:t xml:space="preserve"> </w:t>
      </w:r>
    </w:p>
    <w:p w14:paraId="7201849C" w14:textId="744F3E88" w:rsidR="00AD0B2B" w:rsidRDefault="00FA5890" w:rsidP="008D16A6">
      <w:pPr>
        <w:spacing w:line="240" w:lineRule="auto"/>
        <w:jc w:val="both"/>
        <w:rPr>
          <w:rFonts w:ascii="Times New Roman" w:hAnsi="Times New Roman" w:cs="Times New Roman"/>
          <w:sz w:val="24"/>
          <w:szCs w:val="24"/>
        </w:rPr>
      </w:pPr>
      <w:r w:rsidRPr="008D16A6">
        <w:rPr>
          <w:rFonts w:ascii="Times New Roman" w:hAnsi="Times New Roman" w:cs="Times New Roman"/>
          <w:sz w:val="24"/>
          <w:szCs w:val="24"/>
        </w:rPr>
        <w:t>Oggi, però, essa è intesa come il grado in cui le disparità nel benessere sociale ed economico tra le diverse regioni o gruppi all’interno dell’UE risultano politicamente e socialmente tollerabili.</w:t>
      </w:r>
      <w:r w:rsidR="00BF1989" w:rsidRPr="008D16A6">
        <w:rPr>
          <w:rFonts w:ascii="Times New Roman" w:hAnsi="Times New Roman" w:cs="Times New Roman"/>
          <w:sz w:val="24"/>
          <w:szCs w:val="24"/>
        </w:rPr>
        <w:t xml:space="preserve"> </w:t>
      </w:r>
      <w:r w:rsidR="00532818" w:rsidRPr="008D16A6">
        <w:rPr>
          <w:rFonts w:ascii="Times New Roman" w:hAnsi="Times New Roman" w:cs="Times New Roman"/>
          <w:sz w:val="24"/>
          <w:szCs w:val="24"/>
        </w:rPr>
        <w:t xml:space="preserve">La Politica di Coesione </w:t>
      </w:r>
      <w:r w:rsidR="00D82D03" w:rsidRPr="008D16A6">
        <w:rPr>
          <w:rFonts w:ascii="Times New Roman" w:hAnsi="Times New Roman" w:cs="Times New Roman"/>
          <w:sz w:val="24"/>
          <w:szCs w:val="24"/>
        </w:rPr>
        <w:t>v</w:t>
      </w:r>
      <w:r w:rsidR="00AD0B2B" w:rsidRPr="008D16A6">
        <w:rPr>
          <w:rFonts w:ascii="Times New Roman" w:hAnsi="Times New Roman" w:cs="Times New Roman"/>
          <w:sz w:val="24"/>
          <w:szCs w:val="24"/>
        </w:rPr>
        <w:t xml:space="preserve">iene attuata attraverso migliaia di progetti di sviluppo e influisce sul lavoro quotidiano dei ministeri nazionali, delle autorità locali e dei soggetti privati. </w:t>
      </w:r>
      <w:bookmarkStart w:id="0" w:name="_Hlk199145884"/>
      <w:r w:rsidR="00812B85" w:rsidRPr="008D16A6">
        <w:rPr>
          <w:rFonts w:ascii="Times New Roman" w:hAnsi="Times New Roman" w:cs="Times New Roman"/>
          <w:sz w:val="24"/>
          <w:szCs w:val="24"/>
        </w:rPr>
        <w:t xml:space="preserve">In sintesi, l’obbiettivo fondamentale è migliorare la coesione (cioè, ridurre le disparità o, più in generale, favorire la convergenza dei livelli di ricchezza) su tre dimensioni: economica, sociale e territoriale. </w:t>
      </w:r>
      <w:bookmarkEnd w:id="0"/>
      <w:r w:rsidR="00AD0B2B" w:rsidRPr="008D16A6">
        <w:rPr>
          <w:rFonts w:ascii="Times New Roman" w:hAnsi="Times New Roman" w:cs="Times New Roman"/>
          <w:sz w:val="24"/>
          <w:szCs w:val="24"/>
        </w:rPr>
        <w:t>Nonostante la sua rilevanza, questa politica è soggetta a numerosi fraintendimenti ed è oggetto di molte controversie riguardo alla sua efficacia</w:t>
      </w:r>
      <w:r w:rsidR="00532818" w:rsidRPr="008D16A6">
        <w:rPr>
          <w:rFonts w:ascii="Times New Roman" w:hAnsi="Times New Roman" w:cs="Times New Roman"/>
          <w:sz w:val="24"/>
          <w:szCs w:val="24"/>
        </w:rPr>
        <w:t xml:space="preserve"> ed efficienza </w:t>
      </w:r>
      <w:r w:rsidR="00AD0B2B" w:rsidRPr="008D16A6">
        <w:rPr>
          <w:rFonts w:ascii="Times New Roman" w:hAnsi="Times New Roman" w:cs="Times New Roman"/>
          <w:sz w:val="24"/>
          <w:szCs w:val="24"/>
        </w:rPr>
        <w:t xml:space="preserve">(Molle, 2007) </w:t>
      </w:r>
    </w:p>
    <w:p w14:paraId="2D4B2C33" w14:textId="755B8D45" w:rsidR="00E376D2" w:rsidRPr="00E376D2" w:rsidRDefault="00E376D2" w:rsidP="00E376D2">
      <w:pPr>
        <w:spacing w:line="240" w:lineRule="auto"/>
        <w:jc w:val="both"/>
        <w:rPr>
          <w:rFonts w:ascii="Times New Roman" w:hAnsi="Times New Roman" w:cs="Times New Roman"/>
          <w:sz w:val="24"/>
          <w:szCs w:val="24"/>
        </w:rPr>
      </w:pPr>
      <w:r w:rsidRPr="00E376D2">
        <w:rPr>
          <w:rFonts w:ascii="Times New Roman" w:hAnsi="Times New Roman" w:cs="Times New Roman"/>
          <w:sz w:val="24"/>
          <w:szCs w:val="24"/>
        </w:rPr>
        <w:t>Questo lavoro si concentr</w:t>
      </w:r>
      <w:r w:rsidR="00075B07">
        <w:rPr>
          <w:rFonts w:ascii="Times New Roman" w:hAnsi="Times New Roman" w:cs="Times New Roman"/>
          <w:sz w:val="24"/>
          <w:szCs w:val="24"/>
        </w:rPr>
        <w:t>erà</w:t>
      </w:r>
      <w:r w:rsidRPr="00E376D2">
        <w:rPr>
          <w:rFonts w:ascii="Times New Roman" w:hAnsi="Times New Roman" w:cs="Times New Roman"/>
          <w:sz w:val="24"/>
          <w:szCs w:val="24"/>
        </w:rPr>
        <w:t xml:space="preserve"> sul rapporto tra Politica di Coesione e capacità istituzionale, analizzando come il rafforzamento organizzativo e l’innovazione nella Pubblica Amministrazione</w:t>
      </w:r>
      <w:r w:rsidR="00075B07">
        <w:rPr>
          <w:rFonts w:ascii="Times New Roman" w:hAnsi="Times New Roman" w:cs="Times New Roman"/>
          <w:sz w:val="24"/>
          <w:szCs w:val="24"/>
        </w:rPr>
        <w:t xml:space="preserve"> (PA)</w:t>
      </w:r>
      <w:r w:rsidRPr="00E376D2">
        <w:rPr>
          <w:rFonts w:ascii="Times New Roman" w:hAnsi="Times New Roman" w:cs="Times New Roman"/>
          <w:sz w:val="24"/>
          <w:szCs w:val="24"/>
        </w:rPr>
        <w:t xml:space="preserve"> possano migliorare l’efficacia degli interventi. L’obiettivo principale è evidenziare i limiti degli approcci standardizzati al </w:t>
      </w:r>
      <w:proofErr w:type="spellStart"/>
      <w:r w:rsidRPr="00EC1732">
        <w:rPr>
          <w:rFonts w:ascii="Times New Roman" w:hAnsi="Times New Roman" w:cs="Times New Roman"/>
          <w:i/>
          <w:iCs/>
          <w:sz w:val="24"/>
          <w:szCs w:val="24"/>
        </w:rPr>
        <w:t>capacity</w:t>
      </w:r>
      <w:proofErr w:type="spellEnd"/>
      <w:r w:rsidRPr="00EC1732">
        <w:rPr>
          <w:rFonts w:ascii="Times New Roman" w:hAnsi="Times New Roman" w:cs="Times New Roman"/>
          <w:i/>
          <w:iCs/>
          <w:sz w:val="24"/>
          <w:szCs w:val="24"/>
        </w:rPr>
        <w:t xml:space="preserve"> building</w:t>
      </w:r>
      <w:r w:rsidRPr="00E376D2">
        <w:rPr>
          <w:rFonts w:ascii="Times New Roman" w:hAnsi="Times New Roman" w:cs="Times New Roman"/>
          <w:sz w:val="24"/>
          <w:szCs w:val="24"/>
        </w:rPr>
        <w:t xml:space="preserve"> e proporre modelli </w:t>
      </w:r>
      <w:r w:rsidRPr="00EC1732">
        <w:rPr>
          <w:rFonts w:ascii="Times New Roman" w:hAnsi="Times New Roman" w:cs="Times New Roman"/>
          <w:i/>
          <w:iCs/>
          <w:sz w:val="24"/>
          <w:szCs w:val="24"/>
        </w:rPr>
        <w:t>place-</w:t>
      </w:r>
      <w:proofErr w:type="spellStart"/>
      <w:r w:rsidRPr="00EC1732">
        <w:rPr>
          <w:rFonts w:ascii="Times New Roman" w:hAnsi="Times New Roman" w:cs="Times New Roman"/>
          <w:i/>
          <w:iCs/>
          <w:sz w:val="24"/>
          <w:szCs w:val="24"/>
        </w:rPr>
        <w:t>based</w:t>
      </w:r>
      <w:proofErr w:type="spellEnd"/>
      <w:r w:rsidRPr="00E376D2">
        <w:rPr>
          <w:rFonts w:ascii="Times New Roman" w:hAnsi="Times New Roman" w:cs="Times New Roman"/>
          <w:sz w:val="24"/>
          <w:szCs w:val="24"/>
        </w:rPr>
        <w:t xml:space="preserve"> in grado di adattarsi meglio ai contesti territoriali.</w:t>
      </w:r>
      <w:r>
        <w:rPr>
          <w:rFonts w:ascii="Times New Roman" w:hAnsi="Times New Roman" w:cs="Times New Roman"/>
          <w:sz w:val="24"/>
          <w:szCs w:val="24"/>
        </w:rPr>
        <w:t xml:space="preserve"> Il paper </w:t>
      </w:r>
      <w:r w:rsidRPr="00E376D2">
        <w:rPr>
          <w:rFonts w:ascii="Times New Roman" w:hAnsi="Times New Roman" w:cs="Times New Roman"/>
          <w:sz w:val="24"/>
          <w:szCs w:val="24"/>
        </w:rPr>
        <w:t>cerca di rispondere a tre quesiti principali:</w:t>
      </w:r>
      <w:r>
        <w:rPr>
          <w:rFonts w:ascii="Times New Roman" w:hAnsi="Times New Roman" w:cs="Times New Roman"/>
          <w:sz w:val="24"/>
          <w:szCs w:val="24"/>
        </w:rPr>
        <w:t xml:space="preserve"> 1) </w:t>
      </w:r>
      <w:r w:rsidRPr="00E376D2">
        <w:rPr>
          <w:rFonts w:ascii="Times New Roman" w:hAnsi="Times New Roman" w:cs="Times New Roman"/>
          <w:sz w:val="24"/>
          <w:szCs w:val="24"/>
        </w:rPr>
        <w:t>In che misura l</w:t>
      </w:r>
      <w:r w:rsidR="00075B07">
        <w:rPr>
          <w:rFonts w:ascii="Times New Roman" w:hAnsi="Times New Roman" w:cs="Times New Roman"/>
          <w:sz w:val="24"/>
          <w:szCs w:val="24"/>
        </w:rPr>
        <w:t xml:space="preserve">a capacità </w:t>
      </w:r>
      <w:r w:rsidRPr="00E376D2">
        <w:rPr>
          <w:rFonts w:ascii="Times New Roman" w:hAnsi="Times New Roman" w:cs="Times New Roman"/>
          <w:sz w:val="24"/>
          <w:szCs w:val="24"/>
        </w:rPr>
        <w:t>istituzional</w:t>
      </w:r>
      <w:r w:rsidR="00075B07">
        <w:rPr>
          <w:rFonts w:ascii="Times New Roman" w:hAnsi="Times New Roman" w:cs="Times New Roman"/>
          <w:sz w:val="24"/>
          <w:szCs w:val="24"/>
        </w:rPr>
        <w:t>e</w:t>
      </w:r>
      <w:r w:rsidRPr="00E376D2">
        <w:rPr>
          <w:rFonts w:ascii="Times New Roman" w:hAnsi="Times New Roman" w:cs="Times New Roman"/>
          <w:sz w:val="24"/>
          <w:szCs w:val="24"/>
        </w:rPr>
        <w:t xml:space="preserve"> influisc</w:t>
      </w:r>
      <w:r w:rsidR="00075B07">
        <w:rPr>
          <w:rFonts w:ascii="Times New Roman" w:hAnsi="Times New Roman" w:cs="Times New Roman"/>
          <w:sz w:val="24"/>
          <w:szCs w:val="24"/>
        </w:rPr>
        <w:t>e</w:t>
      </w:r>
      <w:r w:rsidRPr="00E376D2">
        <w:rPr>
          <w:rFonts w:ascii="Times New Roman" w:hAnsi="Times New Roman" w:cs="Times New Roman"/>
          <w:sz w:val="24"/>
          <w:szCs w:val="24"/>
        </w:rPr>
        <w:t xml:space="preserve"> sull’attuazione della Politica di Coesione?</w:t>
      </w:r>
      <w:r>
        <w:rPr>
          <w:rFonts w:ascii="Times New Roman" w:hAnsi="Times New Roman" w:cs="Times New Roman"/>
          <w:sz w:val="24"/>
          <w:szCs w:val="24"/>
        </w:rPr>
        <w:t xml:space="preserve"> 2) </w:t>
      </w:r>
      <w:r w:rsidRPr="00E376D2">
        <w:rPr>
          <w:rFonts w:ascii="Times New Roman" w:hAnsi="Times New Roman" w:cs="Times New Roman"/>
          <w:sz w:val="24"/>
          <w:szCs w:val="24"/>
        </w:rPr>
        <w:t xml:space="preserve">Quali limiti emergono dai modelli tradizionali di </w:t>
      </w:r>
      <w:proofErr w:type="spellStart"/>
      <w:r w:rsidRPr="00EC1732">
        <w:rPr>
          <w:rFonts w:ascii="Times New Roman" w:hAnsi="Times New Roman" w:cs="Times New Roman"/>
          <w:i/>
          <w:iCs/>
          <w:sz w:val="24"/>
          <w:szCs w:val="24"/>
        </w:rPr>
        <w:t>capacity</w:t>
      </w:r>
      <w:proofErr w:type="spellEnd"/>
      <w:r w:rsidRPr="00EC1732">
        <w:rPr>
          <w:rFonts w:ascii="Times New Roman" w:hAnsi="Times New Roman" w:cs="Times New Roman"/>
          <w:i/>
          <w:iCs/>
          <w:sz w:val="24"/>
          <w:szCs w:val="24"/>
        </w:rPr>
        <w:t xml:space="preserve"> building</w:t>
      </w:r>
      <w:r w:rsidRPr="00E376D2">
        <w:rPr>
          <w:rFonts w:ascii="Times New Roman" w:hAnsi="Times New Roman" w:cs="Times New Roman"/>
          <w:sz w:val="24"/>
          <w:szCs w:val="24"/>
        </w:rPr>
        <w:t xml:space="preserve"> applicati agli enti </w:t>
      </w:r>
      <w:r w:rsidR="00075B07" w:rsidRPr="00E376D2">
        <w:rPr>
          <w:rFonts w:ascii="Times New Roman" w:hAnsi="Times New Roman" w:cs="Times New Roman"/>
          <w:sz w:val="24"/>
          <w:szCs w:val="24"/>
        </w:rPr>
        <w:t>locali?</w:t>
      </w:r>
      <w:r>
        <w:rPr>
          <w:rFonts w:ascii="Times New Roman" w:hAnsi="Times New Roman" w:cs="Times New Roman"/>
          <w:sz w:val="24"/>
          <w:szCs w:val="24"/>
        </w:rPr>
        <w:t xml:space="preserve"> 3) </w:t>
      </w:r>
      <w:r w:rsidRPr="00E376D2">
        <w:rPr>
          <w:rFonts w:ascii="Times New Roman" w:hAnsi="Times New Roman" w:cs="Times New Roman"/>
          <w:sz w:val="24"/>
          <w:szCs w:val="24"/>
        </w:rPr>
        <w:t>In che modo l’innovazione nella P</w:t>
      </w:r>
      <w:r w:rsidR="00075B07">
        <w:rPr>
          <w:rFonts w:ascii="Times New Roman" w:hAnsi="Times New Roman" w:cs="Times New Roman"/>
          <w:sz w:val="24"/>
          <w:szCs w:val="24"/>
        </w:rPr>
        <w:t xml:space="preserve">A </w:t>
      </w:r>
      <w:r w:rsidRPr="00E376D2">
        <w:rPr>
          <w:rFonts w:ascii="Times New Roman" w:hAnsi="Times New Roman" w:cs="Times New Roman"/>
          <w:sz w:val="24"/>
          <w:szCs w:val="24"/>
        </w:rPr>
        <w:t>può favorire un miglioramento della governance multilivello e un rafforzamento della coesione territoriale?</w:t>
      </w:r>
      <w:r>
        <w:rPr>
          <w:rFonts w:ascii="Times New Roman" w:hAnsi="Times New Roman" w:cs="Times New Roman"/>
          <w:sz w:val="24"/>
          <w:szCs w:val="24"/>
        </w:rPr>
        <w:t xml:space="preserve"> D</w:t>
      </w:r>
      <w:r w:rsidRPr="00E376D2">
        <w:rPr>
          <w:rFonts w:ascii="Times New Roman" w:hAnsi="Times New Roman" w:cs="Times New Roman"/>
          <w:sz w:val="24"/>
          <w:szCs w:val="24"/>
        </w:rPr>
        <w:t xml:space="preserve">a un punto di vista teorico, </w:t>
      </w:r>
      <w:r>
        <w:rPr>
          <w:rFonts w:ascii="Times New Roman" w:hAnsi="Times New Roman" w:cs="Times New Roman"/>
          <w:sz w:val="24"/>
          <w:szCs w:val="24"/>
        </w:rPr>
        <w:t>l’articolo</w:t>
      </w:r>
      <w:r w:rsidRPr="00E376D2">
        <w:rPr>
          <w:rFonts w:ascii="Times New Roman" w:hAnsi="Times New Roman" w:cs="Times New Roman"/>
          <w:sz w:val="24"/>
          <w:szCs w:val="24"/>
        </w:rPr>
        <w:t xml:space="preserve"> contribuisce al dibattito sul ruolo delle istituzioni nello sviluppo </w:t>
      </w:r>
      <w:r w:rsidR="0086192B">
        <w:rPr>
          <w:rFonts w:ascii="Times New Roman" w:hAnsi="Times New Roman" w:cs="Times New Roman"/>
          <w:sz w:val="24"/>
          <w:szCs w:val="24"/>
        </w:rPr>
        <w:t>locale/</w:t>
      </w:r>
      <w:r w:rsidRPr="00E376D2">
        <w:rPr>
          <w:rFonts w:ascii="Times New Roman" w:hAnsi="Times New Roman" w:cs="Times New Roman"/>
          <w:sz w:val="24"/>
          <w:szCs w:val="24"/>
        </w:rPr>
        <w:t xml:space="preserve">regionale e sul legame tra qualità della governance e convergenza economica. Dal punto di vista metodologico, offre spunti per l’adozione di approcci </w:t>
      </w:r>
      <w:r w:rsidRPr="00EC1732">
        <w:rPr>
          <w:rFonts w:ascii="Times New Roman" w:hAnsi="Times New Roman" w:cs="Times New Roman"/>
          <w:i/>
          <w:iCs/>
          <w:sz w:val="24"/>
          <w:szCs w:val="24"/>
        </w:rPr>
        <w:t>place-</w:t>
      </w:r>
      <w:r w:rsidRPr="00E376D2">
        <w:rPr>
          <w:rFonts w:ascii="Times New Roman" w:hAnsi="Times New Roman" w:cs="Times New Roman"/>
          <w:sz w:val="24"/>
          <w:szCs w:val="24"/>
        </w:rPr>
        <w:t xml:space="preserve"> e </w:t>
      </w:r>
      <w:r w:rsidRPr="00EC1732">
        <w:rPr>
          <w:rFonts w:ascii="Times New Roman" w:hAnsi="Times New Roman" w:cs="Times New Roman"/>
          <w:i/>
          <w:iCs/>
          <w:sz w:val="24"/>
          <w:szCs w:val="24"/>
        </w:rPr>
        <w:t>people-</w:t>
      </w:r>
      <w:proofErr w:type="spellStart"/>
      <w:r w:rsidRPr="00EC1732">
        <w:rPr>
          <w:rFonts w:ascii="Times New Roman" w:hAnsi="Times New Roman" w:cs="Times New Roman"/>
          <w:i/>
          <w:iCs/>
          <w:sz w:val="24"/>
          <w:szCs w:val="24"/>
        </w:rPr>
        <w:t>based</w:t>
      </w:r>
      <w:proofErr w:type="spellEnd"/>
      <w:r w:rsidRPr="00E376D2">
        <w:rPr>
          <w:rFonts w:ascii="Times New Roman" w:hAnsi="Times New Roman" w:cs="Times New Roman"/>
          <w:sz w:val="24"/>
          <w:szCs w:val="24"/>
        </w:rPr>
        <w:t xml:space="preserve"> nella progettazione delle politiche pubbliche.</w:t>
      </w:r>
    </w:p>
    <w:p w14:paraId="1529D992" w14:textId="5F63F120" w:rsidR="00E376D2" w:rsidRDefault="00E376D2" w:rsidP="00E376D2">
      <w:pPr>
        <w:spacing w:line="240" w:lineRule="auto"/>
        <w:jc w:val="both"/>
        <w:rPr>
          <w:rFonts w:ascii="Times New Roman" w:hAnsi="Times New Roman" w:cs="Times New Roman"/>
          <w:sz w:val="24"/>
          <w:szCs w:val="24"/>
        </w:rPr>
      </w:pPr>
      <w:r>
        <w:rPr>
          <w:rFonts w:ascii="Times New Roman" w:hAnsi="Times New Roman" w:cs="Times New Roman"/>
          <w:sz w:val="24"/>
          <w:szCs w:val="24"/>
        </w:rPr>
        <w:t>Per quanto riguarda la s</w:t>
      </w:r>
      <w:r w:rsidRPr="00E376D2">
        <w:rPr>
          <w:rFonts w:ascii="Times New Roman" w:hAnsi="Times New Roman" w:cs="Times New Roman"/>
          <w:sz w:val="24"/>
          <w:szCs w:val="24"/>
        </w:rPr>
        <w:t>truttura dell’articolo</w:t>
      </w:r>
      <w:r>
        <w:rPr>
          <w:rFonts w:ascii="Times New Roman" w:hAnsi="Times New Roman" w:cs="Times New Roman"/>
          <w:sz w:val="24"/>
          <w:szCs w:val="24"/>
        </w:rPr>
        <w:t>, d</w:t>
      </w:r>
      <w:r w:rsidRPr="00E376D2">
        <w:rPr>
          <w:rFonts w:ascii="Times New Roman" w:hAnsi="Times New Roman" w:cs="Times New Roman"/>
          <w:sz w:val="24"/>
          <w:szCs w:val="24"/>
        </w:rPr>
        <w:t xml:space="preserve">opo questa introduzione, </w:t>
      </w:r>
      <w:r>
        <w:rPr>
          <w:rFonts w:ascii="Times New Roman" w:hAnsi="Times New Roman" w:cs="Times New Roman"/>
          <w:sz w:val="24"/>
          <w:szCs w:val="24"/>
        </w:rPr>
        <w:t xml:space="preserve">il paragrafo </w:t>
      </w:r>
      <w:r w:rsidRPr="00E376D2">
        <w:rPr>
          <w:rFonts w:ascii="Times New Roman" w:hAnsi="Times New Roman" w:cs="Times New Roman"/>
          <w:sz w:val="24"/>
          <w:szCs w:val="24"/>
        </w:rPr>
        <w:t>2</w:t>
      </w:r>
      <w:r>
        <w:rPr>
          <w:rFonts w:ascii="Times New Roman" w:hAnsi="Times New Roman" w:cs="Times New Roman"/>
          <w:sz w:val="24"/>
          <w:szCs w:val="24"/>
        </w:rPr>
        <w:t>.</w:t>
      </w:r>
      <w:r w:rsidRPr="00E376D2">
        <w:rPr>
          <w:rFonts w:ascii="Times New Roman" w:hAnsi="Times New Roman" w:cs="Times New Roman"/>
          <w:sz w:val="24"/>
          <w:szCs w:val="24"/>
        </w:rPr>
        <w:t xml:space="preserve"> analizz</w:t>
      </w:r>
      <w:r w:rsidR="00075B07">
        <w:rPr>
          <w:rFonts w:ascii="Times New Roman" w:hAnsi="Times New Roman" w:cs="Times New Roman"/>
          <w:sz w:val="24"/>
          <w:szCs w:val="24"/>
        </w:rPr>
        <w:t>erà</w:t>
      </w:r>
      <w:r w:rsidRPr="00E376D2">
        <w:rPr>
          <w:rFonts w:ascii="Times New Roman" w:hAnsi="Times New Roman" w:cs="Times New Roman"/>
          <w:sz w:val="24"/>
          <w:szCs w:val="24"/>
        </w:rPr>
        <w:t xml:space="preserve"> le evidenze teoriche sul </w:t>
      </w:r>
      <w:proofErr w:type="spellStart"/>
      <w:r w:rsidRPr="00EC1732">
        <w:rPr>
          <w:rFonts w:ascii="Times New Roman" w:hAnsi="Times New Roman" w:cs="Times New Roman"/>
          <w:i/>
          <w:iCs/>
          <w:sz w:val="24"/>
          <w:szCs w:val="24"/>
        </w:rPr>
        <w:t>capacity</w:t>
      </w:r>
      <w:proofErr w:type="spellEnd"/>
      <w:r w:rsidRPr="00EC1732">
        <w:rPr>
          <w:rFonts w:ascii="Times New Roman" w:hAnsi="Times New Roman" w:cs="Times New Roman"/>
          <w:i/>
          <w:iCs/>
          <w:sz w:val="24"/>
          <w:szCs w:val="24"/>
        </w:rPr>
        <w:t xml:space="preserve"> building</w:t>
      </w:r>
      <w:r w:rsidRPr="00E376D2">
        <w:rPr>
          <w:rFonts w:ascii="Times New Roman" w:hAnsi="Times New Roman" w:cs="Times New Roman"/>
          <w:sz w:val="24"/>
          <w:szCs w:val="24"/>
        </w:rPr>
        <w:t xml:space="preserve"> e il sottosviluppo degli enti locali, con particolare attenzione al ruolo delle istituzioni. </w:t>
      </w:r>
      <w:r>
        <w:rPr>
          <w:rFonts w:ascii="Times New Roman" w:hAnsi="Times New Roman" w:cs="Times New Roman"/>
          <w:sz w:val="24"/>
          <w:szCs w:val="24"/>
        </w:rPr>
        <w:t>Il paragrafo</w:t>
      </w:r>
      <w:r w:rsidRPr="00E376D2">
        <w:rPr>
          <w:rFonts w:ascii="Times New Roman" w:hAnsi="Times New Roman" w:cs="Times New Roman"/>
          <w:sz w:val="24"/>
          <w:szCs w:val="24"/>
        </w:rPr>
        <w:t xml:space="preserve"> 3 approfondi</w:t>
      </w:r>
      <w:r w:rsidR="00075B07">
        <w:rPr>
          <w:rFonts w:ascii="Times New Roman" w:hAnsi="Times New Roman" w:cs="Times New Roman"/>
          <w:sz w:val="24"/>
          <w:szCs w:val="24"/>
        </w:rPr>
        <w:t>rà</w:t>
      </w:r>
      <w:r w:rsidRPr="00E376D2">
        <w:rPr>
          <w:rFonts w:ascii="Times New Roman" w:hAnsi="Times New Roman" w:cs="Times New Roman"/>
          <w:sz w:val="24"/>
          <w:szCs w:val="24"/>
        </w:rPr>
        <w:t xml:space="preserve"> </w:t>
      </w:r>
      <w:r w:rsidR="00075B07">
        <w:rPr>
          <w:rFonts w:ascii="Times New Roman" w:hAnsi="Times New Roman" w:cs="Times New Roman"/>
          <w:sz w:val="24"/>
          <w:szCs w:val="24"/>
        </w:rPr>
        <w:t>il tema del</w:t>
      </w:r>
      <w:r w:rsidRPr="00E376D2">
        <w:rPr>
          <w:rFonts w:ascii="Times New Roman" w:hAnsi="Times New Roman" w:cs="Times New Roman"/>
          <w:sz w:val="24"/>
          <w:szCs w:val="24"/>
        </w:rPr>
        <w:t xml:space="preserve">l’innovazione nella PA come leva strategica per rafforzare la capacità istituzionale. </w:t>
      </w:r>
      <w:r>
        <w:rPr>
          <w:rFonts w:ascii="Times New Roman" w:hAnsi="Times New Roman" w:cs="Times New Roman"/>
          <w:sz w:val="24"/>
          <w:szCs w:val="24"/>
        </w:rPr>
        <w:t>Il paragrafo 4</w:t>
      </w:r>
      <w:r w:rsidRPr="00E376D2">
        <w:rPr>
          <w:rFonts w:ascii="Times New Roman" w:hAnsi="Times New Roman" w:cs="Times New Roman"/>
          <w:sz w:val="24"/>
          <w:szCs w:val="24"/>
        </w:rPr>
        <w:t xml:space="preserve"> present</w:t>
      </w:r>
      <w:r w:rsidR="00075B07">
        <w:rPr>
          <w:rFonts w:ascii="Times New Roman" w:hAnsi="Times New Roman" w:cs="Times New Roman"/>
          <w:sz w:val="24"/>
          <w:szCs w:val="24"/>
        </w:rPr>
        <w:t>erà</w:t>
      </w:r>
      <w:r w:rsidRPr="00E376D2">
        <w:rPr>
          <w:rFonts w:ascii="Times New Roman" w:hAnsi="Times New Roman" w:cs="Times New Roman"/>
          <w:sz w:val="24"/>
          <w:szCs w:val="24"/>
        </w:rPr>
        <w:t xml:space="preserve"> il caso del Centro Servizi di Supporto Territoriale (CST), sviluppato in Italia nell’ambito del PN </w:t>
      </w:r>
      <w:proofErr w:type="spellStart"/>
      <w:r w:rsidRPr="00E376D2">
        <w:rPr>
          <w:rFonts w:ascii="Times New Roman" w:hAnsi="Times New Roman" w:cs="Times New Roman"/>
          <w:sz w:val="24"/>
          <w:szCs w:val="24"/>
        </w:rPr>
        <w:t>CapCoe</w:t>
      </w:r>
      <w:proofErr w:type="spellEnd"/>
      <w:r w:rsidRPr="00E376D2">
        <w:rPr>
          <w:rFonts w:ascii="Times New Roman" w:hAnsi="Times New Roman" w:cs="Times New Roman"/>
          <w:sz w:val="24"/>
          <w:szCs w:val="24"/>
        </w:rPr>
        <w:t xml:space="preserve">, come esempio applicativo di </w:t>
      </w:r>
      <w:proofErr w:type="spellStart"/>
      <w:r w:rsidRPr="00EC1732">
        <w:rPr>
          <w:rFonts w:ascii="Times New Roman" w:hAnsi="Times New Roman" w:cs="Times New Roman"/>
          <w:i/>
          <w:iCs/>
          <w:sz w:val="24"/>
          <w:szCs w:val="24"/>
        </w:rPr>
        <w:t>capacity</w:t>
      </w:r>
      <w:proofErr w:type="spellEnd"/>
      <w:r w:rsidRPr="00EC1732">
        <w:rPr>
          <w:rFonts w:ascii="Times New Roman" w:hAnsi="Times New Roman" w:cs="Times New Roman"/>
          <w:i/>
          <w:iCs/>
          <w:sz w:val="24"/>
          <w:szCs w:val="24"/>
        </w:rPr>
        <w:t xml:space="preserve"> building place-</w:t>
      </w:r>
      <w:proofErr w:type="spellStart"/>
      <w:r w:rsidRPr="00EC1732">
        <w:rPr>
          <w:rFonts w:ascii="Times New Roman" w:hAnsi="Times New Roman" w:cs="Times New Roman"/>
          <w:i/>
          <w:iCs/>
          <w:sz w:val="24"/>
          <w:szCs w:val="24"/>
        </w:rPr>
        <w:t>based</w:t>
      </w:r>
      <w:proofErr w:type="spellEnd"/>
      <w:r w:rsidRPr="00E376D2">
        <w:rPr>
          <w:rFonts w:ascii="Times New Roman" w:hAnsi="Times New Roman" w:cs="Times New Roman"/>
          <w:sz w:val="24"/>
          <w:szCs w:val="24"/>
        </w:rPr>
        <w:t xml:space="preserve">. Infine, nelle conclusioni, </w:t>
      </w:r>
      <w:r w:rsidR="00F47438">
        <w:rPr>
          <w:rFonts w:ascii="Times New Roman" w:hAnsi="Times New Roman" w:cs="Times New Roman"/>
          <w:sz w:val="24"/>
          <w:szCs w:val="24"/>
        </w:rPr>
        <w:t>verranno</w:t>
      </w:r>
      <w:r w:rsidRPr="00E376D2">
        <w:rPr>
          <w:rFonts w:ascii="Times New Roman" w:hAnsi="Times New Roman" w:cs="Times New Roman"/>
          <w:sz w:val="24"/>
          <w:szCs w:val="24"/>
        </w:rPr>
        <w:t xml:space="preserve"> sintetizzati i risultati principali e discusse le implicazioni teoriche e pratiche della ricerca.</w:t>
      </w:r>
    </w:p>
    <w:p w14:paraId="5770C04B" w14:textId="77777777" w:rsidR="00F54386" w:rsidRDefault="00F54386" w:rsidP="00E376D2">
      <w:pPr>
        <w:spacing w:line="240" w:lineRule="auto"/>
        <w:jc w:val="both"/>
        <w:rPr>
          <w:rFonts w:ascii="Times New Roman" w:hAnsi="Times New Roman" w:cs="Times New Roman"/>
          <w:sz w:val="24"/>
          <w:szCs w:val="24"/>
        </w:rPr>
      </w:pPr>
    </w:p>
    <w:p w14:paraId="2AA6C27F" w14:textId="77777777" w:rsidR="00F54386" w:rsidRPr="008D16A6" w:rsidRDefault="00F54386" w:rsidP="00E376D2">
      <w:pPr>
        <w:spacing w:line="240" w:lineRule="auto"/>
        <w:jc w:val="both"/>
        <w:rPr>
          <w:rFonts w:ascii="Times New Roman" w:hAnsi="Times New Roman" w:cs="Times New Roman"/>
          <w:sz w:val="24"/>
          <w:szCs w:val="24"/>
        </w:rPr>
      </w:pPr>
    </w:p>
    <w:p w14:paraId="38CE5054" w14:textId="4F002423" w:rsidR="002A6312" w:rsidRPr="008D16A6" w:rsidRDefault="002A6312" w:rsidP="008D16A6">
      <w:pPr>
        <w:pStyle w:val="NormaleWeb"/>
        <w:numPr>
          <w:ilvl w:val="0"/>
          <w:numId w:val="12"/>
        </w:numPr>
        <w:jc w:val="both"/>
        <w:rPr>
          <w:b/>
          <w:bCs/>
        </w:rPr>
      </w:pPr>
      <w:r w:rsidRPr="008D16A6">
        <w:rPr>
          <w:b/>
          <w:bCs/>
        </w:rPr>
        <w:lastRenderedPageBreak/>
        <w:t>Capacità istituzionale e sottosviluppo degli enti locali: evidenze teoriche e implicazioni</w:t>
      </w:r>
    </w:p>
    <w:p w14:paraId="1C22E196" w14:textId="77777777" w:rsidR="00F47438" w:rsidRDefault="007C7F7D" w:rsidP="008D16A6">
      <w:pPr>
        <w:pStyle w:val="NormaleWeb"/>
        <w:jc w:val="both"/>
      </w:pPr>
      <w:r w:rsidRPr="007C7F7D">
        <w:t>La politica di coesione dell’U</w:t>
      </w:r>
      <w:r w:rsidR="00F47438">
        <w:t>E</w:t>
      </w:r>
      <w:r w:rsidRPr="007C7F7D">
        <w:t xml:space="preserve"> si configura come una leva fondamentale per il potenziamento della capacità istituzionale, contribuendo a migliorare l’efficienza, l’efficacia e la qualità della governance pubblica</w:t>
      </w:r>
      <w:r>
        <w:t>. (</w:t>
      </w:r>
      <w:proofErr w:type="spellStart"/>
      <w:r>
        <w:t>Kacou</w:t>
      </w:r>
      <w:proofErr w:type="spellEnd"/>
      <w:r>
        <w:t xml:space="preserve"> et al., 2022; </w:t>
      </w:r>
      <w:proofErr w:type="spellStart"/>
      <w:r>
        <w:t>Demir</w:t>
      </w:r>
      <w:proofErr w:type="spellEnd"/>
      <w:r>
        <w:t>, 2022; EU Commission, 2024).</w:t>
      </w:r>
    </w:p>
    <w:p w14:paraId="73269561" w14:textId="64228A5C" w:rsidR="008A5332" w:rsidRPr="0043000E" w:rsidRDefault="008A5332" w:rsidP="008D16A6">
      <w:pPr>
        <w:pStyle w:val="NormaleWeb"/>
        <w:jc w:val="both"/>
      </w:pPr>
      <w:r w:rsidRPr="008D16A6">
        <w:t xml:space="preserve">A livello istituzionale, la capacità è definita come l’abilità complessiva di individui, organizzazioni, comunità, stati e società di affrontare con successo le sfide collettive e di generare benefici duraturi per i diversi </w:t>
      </w:r>
      <w:r w:rsidRPr="00B53FD9">
        <w:rPr>
          <w:i/>
          <w:iCs/>
        </w:rPr>
        <w:t>stakeholder</w:t>
      </w:r>
      <w:r w:rsidRPr="008D16A6">
        <w:t>. Tuttavia, per trasformare le competenze individuali in capacità organizzative, è necessario valutare le capacità istituzionali. In altre parole, questi livelli sono interconnessi</w:t>
      </w:r>
      <w:r w:rsidR="00AC6579" w:rsidRPr="008D16A6">
        <w:t>:</w:t>
      </w:r>
      <w:r w:rsidRPr="008D16A6">
        <w:t xml:space="preserve"> assumono forme e caratteristiche differenti a seconda del contesto progettuale, che può richiedere la creazione di nuove capacità o lo sviluppo di </w:t>
      </w:r>
      <w:r w:rsidR="004F0070">
        <w:t>altre</w:t>
      </w:r>
      <w:r w:rsidRPr="008D16A6">
        <w:t xml:space="preserve"> esistenti a livello istituzionale (An et al., 2017).</w:t>
      </w:r>
      <w:r w:rsidR="009A6521">
        <w:t xml:space="preserve"> </w:t>
      </w:r>
      <w:r w:rsidRPr="008D16A6">
        <w:t>Tra tutte le definizion</w:t>
      </w:r>
      <w:r w:rsidR="004F0070">
        <w:t>i</w:t>
      </w:r>
      <w:r w:rsidRPr="008D16A6">
        <w:t xml:space="preserve"> teoriche connesse ai concetti dello sviluppo della capacità amministrativa e alle misure</w:t>
      </w:r>
      <w:r w:rsidRPr="0043000E">
        <w:t xml:space="preserve"> di </w:t>
      </w:r>
      <w:proofErr w:type="spellStart"/>
      <w:r w:rsidRPr="00EC1732">
        <w:rPr>
          <w:i/>
          <w:iCs/>
        </w:rPr>
        <w:t>capacity</w:t>
      </w:r>
      <w:proofErr w:type="spellEnd"/>
      <w:r w:rsidRPr="00EC1732">
        <w:rPr>
          <w:i/>
          <w:iCs/>
        </w:rPr>
        <w:t xml:space="preserve"> building</w:t>
      </w:r>
      <w:r w:rsidRPr="0043000E">
        <w:t xml:space="preserve"> </w:t>
      </w:r>
      <w:r w:rsidRPr="008D16A6">
        <w:t xml:space="preserve">quella che aiuta meglio a focalizzare la </w:t>
      </w:r>
      <w:r w:rsidR="0043000E" w:rsidRPr="008D16A6">
        <w:t>discussione</w:t>
      </w:r>
      <w:r w:rsidRPr="008D16A6">
        <w:t xml:space="preserve"> è proposta da</w:t>
      </w:r>
      <w:r w:rsidRPr="0043000E">
        <w:t xml:space="preserve"> Armstrong: “</w:t>
      </w:r>
      <w:r w:rsidR="0043000E" w:rsidRPr="0043000E">
        <w:t>Lo sviluppo della capacità istituzionale di governo (</w:t>
      </w:r>
      <w:r w:rsidR="0043000E" w:rsidRPr="00B53FD9">
        <w:rPr>
          <w:i/>
          <w:iCs/>
        </w:rPr>
        <w:t xml:space="preserve">Government </w:t>
      </w:r>
      <w:proofErr w:type="spellStart"/>
      <w:r w:rsidR="0043000E" w:rsidRPr="00B53FD9">
        <w:rPr>
          <w:i/>
          <w:iCs/>
        </w:rPr>
        <w:t>Capacity</w:t>
      </w:r>
      <w:proofErr w:type="spellEnd"/>
      <w:r w:rsidR="0043000E" w:rsidRPr="00B53FD9">
        <w:rPr>
          <w:i/>
          <w:iCs/>
        </w:rPr>
        <w:t xml:space="preserve"> Development</w:t>
      </w:r>
      <w:r w:rsidR="0043000E" w:rsidRPr="0043000E">
        <w:t>, GCD) è un processo attraverso il quale le organizzazioni e le agenzie pubbliche acquisiscono, consolidano, ampliano e mantengono la capacità di formulare e attuare politiche in grado di rendere il Paese più sano, prospero e resilient</w:t>
      </w:r>
      <w:r w:rsidR="0043000E">
        <w:t>e</w:t>
      </w:r>
      <w:r w:rsidRPr="0043000E">
        <w:t xml:space="preserve">” (Armstrong, 2013: 3) </w:t>
      </w:r>
    </w:p>
    <w:p w14:paraId="4C90E7B9" w14:textId="392C2336" w:rsidR="008A5332" w:rsidRPr="008D16A6" w:rsidRDefault="008A5332" w:rsidP="008D16A6">
      <w:pPr>
        <w:pStyle w:val="NormaleWeb"/>
        <w:jc w:val="both"/>
      </w:pPr>
      <w:r w:rsidRPr="008D16A6">
        <w:t xml:space="preserve">Nonostante la centralità attribuita al </w:t>
      </w:r>
      <w:proofErr w:type="spellStart"/>
      <w:r w:rsidRPr="00EC1732">
        <w:rPr>
          <w:i/>
          <w:iCs/>
        </w:rPr>
        <w:t>capacity</w:t>
      </w:r>
      <w:proofErr w:type="spellEnd"/>
      <w:r w:rsidRPr="00EC1732">
        <w:rPr>
          <w:i/>
          <w:iCs/>
        </w:rPr>
        <w:t xml:space="preserve"> building</w:t>
      </w:r>
      <w:r w:rsidR="00AC6579" w:rsidRPr="008D16A6">
        <w:t xml:space="preserve"> negli ultimi anni,</w:t>
      </w:r>
      <w:r w:rsidRPr="008D16A6">
        <w:t xml:space="preserve"> il tasso di fallimento degli interventi si attesta intorno al 70% (Armstrong, 2013). Ciò è in parte imputabile alla diffusione di un modello standard lineare e tecnicista, che ignora la complessità e la specificità dei contesti locali. Tale approccio, spesso guidato da esperti esterni e basato sulla logica delle </w:t>
      </w:r>
      <w:r w:rsidRPr="008D16A6">
        <w:rPr>
          <w:i/>
          <w:iCs/>
        </w:rPr>
        <w:t>best practices</w:t>
      </w:r>
      <w:r w:rsidRPr="008D16A6">
        <w:t xml:space="preserve"> trasferibili, si fonda sulla gestione per risultati</w:t>
      </w:r>
      <w:r w:rsidR="004F0070">
        <w:t xml:space="preserve"> (</w:t>
      </w:r>
      <w:r w:rsidRPr="008D16A6">
        <w:t xml:space="preserve">il </w:t>
      </w:r>
      <w:proofErr w:type="spellStart"/>
      <w:r w:rsidRPr="008D16A6">
        <w:rPr>
          <w:i/>
          <w:iCs/>
        </w:rPr>
        <w:t>results-based</w:t>
      </w:r>
      <w:proofErr w:type="spellEnd"/>
      <w:r w:rsidRPr="008D16A6">
        <w:rPr>
          <w:i/>
          <w:iCs/>
        </w:rPr>
        <w:t xml:space="preserve"> </w:t>
      </w:r>
      <w:proofErr w:type="spellStart"/>
      <w:r w:rsidRPr="008D16A6">
        <w:rPr>
          <w:i/>
          <w:iCs/>
        </w:rPr>
        <w:t>managament</w:t>
      </w:r>
      <w:proofErr w:type="spellEnd"/>
      <w:r w:rsidR="004F0070">
        <w:t xml:space="preserve">, </w:t>
      </w:r>
      <w:r w:rsidRPr="008D16A6">
        <w:t xml:space="preserve">RBM), promossa per garantire trasparenza e </w:t>
      </w:r>
      <w:r w:rsidRPr="009A6521">
        <w:rPr>
          <w:i/>
          <w:iCs/>
        </w:rPr>
        <w:t>accountability</w:t>
      </w:r>
      <w:r w:rsidRPr="008D16A6">
        <w:t>. Tuttavia, l’RBM si è dimostrato inefficace nel trattare obiettivi immateriali, come il cambiamento istituzionale o comportamentale</w:t>
      </w:r>
      <w:r w:rsidR="004F0070">
        <w:t xml:space="preserve"> </w:t>
      </w:r>
      <w:r w:rsidRPr="008D16A6">
        <w:t xml:space="preserve">e tende a produrre indicatori superficiali, distorcendo le finalità degli interventi. Ne deriva una “trappola della responsabilità” in cui prevale la quantificazione di </w:t>
      </w:r>
      <w:r w:rsidRPr="004F0070">
        <w:rPr>
          <w:i/>
          <w:iCs/>
        </w:rPr>
        <w:t>output</w:t>
      </w:r>
      <w:r w:rsidRPr="008D16A6">
        <w:t xml:space="preserve"> misurabili a scapito dell’impatto trasformativo (</w:t>
      </w:r>
      <w:proofErr w:type="spellStart"/>
      <w:r w:rsidRPr="008D16A6">
        <w:t>Kacou</w:t>
      </w:r>
      <w:proofErr w:type="spellEnd"/>
      <w:r w:rsidRPr="008D16A6">
        <w:t xml:space="preserve"> et al., 2022)</w:t>
      </w:r>
      <w:r w:rsidR="00B53FD9">
        <w:t>.</w:t>
      </w:r>
    </w:p>
    <w:p w14:paraId="1B16A3AB" w14:textId="22E2D0C6" w:rsidR="0043000E" w:rsidRPr="000F0266" w:rsidRDefault="002A6312" w:rsidP="0043000E">
      <w:pPr>
        <w:pStyle w:val="NormaleWeb"/>
        <w:jc w:val="both"/>
      </w:pPr>
      <w:r w:rsidRPr="008D16A6">
        <w:t xml:space="preserve">Il sottosviluppo delle capacità istituzionali locali e/o regionali rappresenta un fenomeno multifattoriale, la cui </w:t>
      </w:r>
      <w:r w:rsidR="0086192B">
        <w:t>origine</w:t>
      </w:r>
      <w:r w:rsidRPr="008D16A6">
        <w:t xml:space="preserve"> varia in base ai contesti territoriali. I modelli di crescita endogena e </w:t>
      </w:r>
      <w:r w:rsidR="0043000E">
        <w:t>S</w:t>
      </w:r>
      <w:r w:rsidRPr="008D16A6">
        <w:t>chumpeteriana individuano tra i principali ostacoli allo sviluppo i bassi livelli di capitale umano e la limitata capacità di innovazione e assorbimento tecnologico. La nuova geografia economica, invece, enfatizza le diseconomie di scala e la scarsa accessibilità ai mercati. Altri approcci riconducono i divari regionali a differenze nella qualità delle imprese, nei sistemi di Ricerca e Sviluppo e nella dotazione di capitale umano (</w:t>
      </w:r>
      <w:proofErr w:type="spellStart"/>
      <w:r w:rsidRPr="008D16A6">
        <w:t>Farole</w:t>
      </w:r>
      <w:proofErr w:type="spellEnd"/>
      <w:r w:rsidRPr="008D16A6">
        <w:t xml:space="preserve"> et al., 2011)</w:t>
      </w:r>
      <w:r w:rsidR="0043000E">
        <w:t xml:space="preserve">. </w:t>
      </w:r>
      <w:r w:rsidRPr="008D16A6">
        <w:t>Tuttavia, un consenso crescente nella letteratura identifica nella qualità delle istituzioni (formali e informali) una determinante cruciale della traiettoria di sviluppo (</w:t>
      </w:r>
      <w:proofErr w:type="spellStart"/>
      <w:r w:rsidRPr="008D16A6">
        <w:t>Acemoglu</w:t>
      </w:r>
      <w:proofErr w:type="spellEnd"/>
      <w:r w:rsidRPr="008D16A6">
        <w:t xml:space="preserve"> &amp; Robinson, 2000; </w:t>
      </w:r>
      <w:proofErr w:type="spellStart"/>
      <w:r w:rsidR="00FD7EB6" w:rsidRPr="008D16A6">
        <w:t>Acemoglu</w:t>
      </w:r>
      <w:proofErr w:type="spellEnd"/>
      <w:r w:rsidR="00FD7EB6" w:rsidRPr="008D16A6">
        <w:t xml:space="preserve">, 2006; </w:t>
      </w:r>
      <w:proofErr w:type="spellStart"/>
      <w:r w:rsidRPr="008D16A6">
        <w:t>Farole</w:t>
      </w:r>
      <w:proofErr w:type="spellEnd"/>
      <w:r w:rsidRPr="008D16A6">
        <w:t xml:space="preserve"> et al., 2011). </w:t>
      </w:r>
      <w:r w:rsidR="0043000E" w:rsidRPr="008D16A6">
        <w:t>Nel contesto europeo attuale, l</w:t>
      </w:r>
      <w:r w:rsidR="0043000E" w:rsidRPr="000F0266">
        <w:t xml:space="preserve">a qualità della </w:t>
      </w:r>
      <w:r w:rsidR="0043000E" w:rsidRPr="004F0070">
        <w:rPr>
          <w:i/>
          <w:iCs/>
        </w:rPr>
        <w:t>governance</w:t>
      </w:r>
      <w:r w:rsidR="0043000E" w:rsidRPr="000F0266">
        <w:t xml:space="preserve"> pubblica e della capacità amministrativa rappresenta </w:t>
      </w:r>
      <w:r w:rsidR="0043000E" w:rsidRPr="008D16A6">
        <w:t xml:space="preserve">l’elemento </w:t>
      </w:r>
      <w:r w:rsidR="0043000E" w:rsidRPr="000F0266">
        <w:t xml:space="preserve">cruciale </w:t>
      </w:r>
      <w:r w:rsidR="0043000E" w:rsidRPr="008D16A6">
        <w:t>dell</w:t>
      </w:r>
      <w:r w:rsidR="0043000E" w:rsidRPr="000F0266">
        <w:t xml:space="preserve">’efficacia della Politica di Coesione. Le carenze istituzionali, ancora diffuse in diverse regioni europee, ostacolano l’attuazione efficiente degli investimenti e compromettono il ritorno economico e sociale delle politiche pubbliche. Rafforzare la capacità amministrativa, soprattutto in vista di futuri </w:t>
      </w:r>
      <w:r w:rsidR="0043000E" w:rsidRPr="000F0266">
        <w:lastRenderedPageBreak/>
        <w:t>allargamenti dell’UE, è essenziale per migliorare l’efficienza e l’impatto della politica di sviluppo territoriale (</w:t>
      </w:r>
      <w:r w:rsidR="007C7F7D">
        <w:t>EU Commission</w:t>
      </w:r>
      <w:r w:rsidR="0043000E" w:rsidRPr="000F0266">
        <w:t>, 2024a; 2024b).</w:t>
      </w:r>
    </w:p>
    <w:p w14:paraId="26CCD9F3" w14:textId="2BFB4C01" w:rsidR="002A6312" w:rsidRPr="008D16A6" w:rsidRDefault="002A6312" w:rsidP="008D16A6">
      <w:pPr>
        <w:pStyle w:val="NormaleWeb"/>
        <w:jc w:val="both"/>
      </w:pPr>
      <w:r w:rsidRPr="008D16A6">
        <w:t xml:space="preserve">Le regioni in ritardo spesso soffrono di sclerosi istituzionale, clientelismo, corruzione e ricerca di rendita da parte di </w:t>
      </w:r>
      <w:r w:rsidRPr="004F0070">
        <w:rPr>
          <w:i/>
          <w:iCs/>
        </w:rPr>
        <w:t>élite</w:t>
      </w:r>
      <w:r w:rsidRPr="008D16A6">
        <w:t xml:space="preserve"> locali, con conseguente ostilità verso l’innovazione. Tali dinamiche si accompagnano frequentemente a un basso capitale sociale e a una debole capacità di azione collettiva. In presenza di istituzioni “inadeguate”, le politiche pubbliche tendono a essere inefficaci, rafforzando trappole di bassa crescita e bassi investimenti. Ciò produce effetti cumulativi: la divergenza economica accentua l’erosione della capacità istituzionale, consolidando ulteriormente il sottosviluppo. Al contrario, il rafforzamento della qualità istituzionale e degli investimenti in capitale umano può migliorare la capacità delle regioni periferiche di beneficiare delle innovazioni esogene.</w:t>
      </w:r>
      <w:r w:rsidR="00E67DEF" w:rsidRPr="008D16A6">
        <w:t xml:space="preserve"> Infatti, d</w:t>
      </w:r>
      <w:r w:rsidR="00E67DEF" w:rsidRPr="00966FE2">
        <w:t>al punto di vista istituzionale, la qualità delle istituzioni locali tende ad avere un impatto sostanziale sul grado in cui gli interventi riescono a raggiungere i risultati attesi</w:t>
      </w:r>
      <w:r w:rsidR="00FD7EB6" w:rsidRPr="008D16A6">
        <w:t xml:space="preserve"> (</w:t>
      </w:r>
      <w:proofErr w:type="spellStart"/>
      <w:r w:rsidR="00FD7EB6" w:rsidRPr="008D16A6">
        <w:t>Farole</w:t>
      </w:r>
      <w:proofErr w:type="spellEnd"/>
      <w:r w:rsidR="00FD7EB6" w:rsidRPr="008D16A6">
        <w:t xml:space="preserve"> et al., 2011).</w:t>
      </w:r>
    </w:p>
    <w:p w14:paraId="31DE81AE" w14:textId="4BC9DE98" w:rsidR="000F0266" w:rsidRPr="000F0266" w:rsidRDefault="0043000E" w:rsidP="0043000E">
      <w:pPr>
        <w:pStyle w:val="NormaleWeb"/>
        <w:jc w:val="both"/>
      </w:pPr>
      <w:r w:rsidRPr="000F0266">
        <w:t xml:space="preserve">La crescente polarizzazione tra aree metropolitane e regioni intermedie o rurali richiede interventi adattati ai contesti specifici e una </w:t>
      </w:r>
      <w:r w:rsidRPr="004F0070">
        <w:rPr>
          <w:i/>
          <w:iCs/>
        </w:rPr>
        <w:t>governance</w:t>
      </w:r>
      <w:r w:rsidRPr="000F0266">
        <w:t xml:space="preserve"> multilivello inclusiva, fondata sul coinvolgimento attivo degli </w:t>
      </w:r>
      <w:r w:rsidRPr="000F0266">
        <w:rPr>
          <w:i/>
          <w:iCs/>
        </w:rPr>
        <w:t>stakeholder</w:t>
      </w:r>
      <w:r w:rsidRPr="000F0266">
        <w:t xml:space="preserve"> locali. Tale approccio è fondamentale non solo per valorizzare le risorse endogene, ma anche per rafforzare la legittimità delle politiche e contrastare il crescente disincanto verso le istituzioni.</w:t>
      </w:r>
      <w:r w:rsidRPr="008D16A6">
        <w:t xml:space="preserve"> </w:t>
      </w:r>
      <w:r w:rsidRPr="000F0266">
        <w:t>Un modello più efficace di coesione implica il superamento dell’approccio uniforme (</w:t>
      </w:r>
      <w:r w:rsidRPr="000F0266">
        <w:rPr>
          <w:i/>
          <w:iCs/>
        </w:rPr>
        <w:t xml:space="preserve">one size </w:t>
      </w:r>
      <w:proofErr w:type="spellStart"/>
      <w:r w:rsidRPr="000F0266">
        <w:rPr>
          <w:i/>
          <w:iCs/>
        </w:rPr>
        <w:t>fits</w:t>
      </w:r>
      <w:proofErr w:type="spellEnd"/>
      <w:r w:rsidRPr="000F0266">
        <w:rPr>
          <w:i/>
          <w:iCs/>
        </w:rPr>
        <w:t xml:space="preserve"> </w:t>
      </w:r>
      <w:proofErr w:type="spellStart"/>
      <w:r w:rsidRPr="000F0266">
        <w:rPr>
          <w:i/>
          <w:iCs/>
        </w:rPr>
        <w:t>all</w:t>
      </w:r>
      <w:proofErr w:type="spellEnd"/>
      <w:r w:rsidRPr="000F0266">
        <w:t xml:space="preserve">) a favore di strategie </w:t>
      </w:r>
      <w:r w:rsidRPr="000F0266">
        <w:rPr>
          <w:i/>
          <w:iCs/>
        </w:rPr>
        <w:t>place- e people-</w:t>
      </w:r>
      <w:proofErr w:type="spellStart"/>
      <w:r w:rsidRPr="000F0266">
        <w:rPr>
          <w:i/>
          <w:iCs/>
        </w:rPr>
        <w:t>based</w:t>
      </w:r>
      <w:proofErr w:type="spellEnd"/>
      <w:r w:rsidRPr="000F0266">
        <w:t xml:space="preserve">. In questo quadro, la costruzione istituzionale deve essere considerata un pilastro dello sviluppo, al pari degli investimenti in capitale fisico, umano e innovativo. </w:t>
      </w:r>
      <w:r w:rsidRPr="008D16A6">
        <w:t>(</w:t>
      </w:r>
      <w:r w:rsidR="00345527">
        <w:t xml:space="preserve">Barca, 2009; </w:t>
      </w:r>
      <w:proofErr w:type="spellStart"/>
      <w:r w:rsidR="00345527">
        <w:t>Farole</w:t>
      </w:r>
      <w:proofErr w:type="spellEnd"/>
      <w:r w:rsidR="00345527">
        <w:t xml:space="preserve"> et al., 2011; </w:t>
      </w:r>
      <w:proofErr w:type="spellStart"/>
      <w:r w:rsidR="00345527">
        <w:t>Demir</w:t>
      </w:r>
      <w:proofErr w:type="spellEnd"/>
      <w:r w:rsidR="00345527">
        <w:t xml:space="preserve">, 2022; </w:t>
      </w:r>
      <w:r w:rsidRPr="008D16A6">
        <w:t xml:space="preserve">EU </w:t>
      </w:r>
      <w:proofErr w:type="spellStart"/>
      <w:r w:rsidRPr="008D16A6">
        <w:t>Commision</w:t>
      </w:r>
      <w:proofErr w:type="spellEnd"/>
      <w:r w:rsidRPr="008D16A6">
        <w:t xml:space="preserve"> 2024, 2024b)</w:t>
      </w:r>
      <w:r>
        <w:t xml:space="preserve">. </w:t>
      </w:r>
    </w:p>
    <w:p w14:paraId="19605FB5" w14:textId="01244CF6" w:rsidR="00B35EC2" w:rsidRPr="008D16A6" w:rsidRDefault="00B35EC2" w:rsidP="008D16A6">
      <w:pPr>
        <w:pStyle w:val="Paragrafoelenco"/>
        <w:numPr>
          <w:ilvl w:val="0"/>
          <w:numId w:val="12"/>
        </w:numPr>
        <w:spacing w:line="240" w:lineRule="auto"/>
        <w:jc w:val="both"/>
        <w:rPr>
          <w:rFonts w:ascii="Times New Roman" w:hAnsi="Times New Roman" w:cs="Times New Roman"/>
          <w:sz w:val="24"/>
          <w:szCs w:val="24"/>
        </w:rPr>
      </w:pPr>
      <w:proofErr w:type="spellStart"/>
      <w:r w:rsidRPr="008D16A6">
        <w:rPr>
          <w:rFonts w:ascii="Times New Roman" w:hAnsi="Times New Roman" w:cs="Times New Roman"/>
          <w:b/>
          <w:bCs/>
          <w:sz w:val="24"/>
          <w:szCs w:val="24"/>
        </w:rPr>
        <w:t>Capacity</w:t>
      </w:r>
      <w:proofErr w:type="spellEnd"/>
      <w:r w:rsidRPr="008D16A6">
        <w:rPr>
          <w:rFonts w:ascii="Times New Roman" w:hAnsi="Times New Roman" w:cs="Times New Roman"/>
          <w:b/>
          <w:bCs/>
          <w:sz w:val="24"/>
          <w:szCs w:val="24"/>
        </w:rPr>
        <w:t xml:space="preserve"> building e innovazione nella P</w:t>
      </w:r>
      <w:r w:rsidR="00345527">
        <w:rPr>
          <w:rFonts w:ascii="Times New Roman" w:hAnsi="Times New Roman" w:cs="Times New Roman"/>
          <w:b/>
          <w:bCs/>
          <w:sz w:val="24"/>
          <w:szCs w:val="24"/>
        </w:rPr>
        <w:t xml:space="preserve">ubblica </w:t>
      </w:r>
      <w:r w:rsidRPr="008D16A6">
        <w:rPr>
          <w:rFonts w:ascii="Times New Roman" w:hAnsi="Times New Roman" w:cs="Times New Roman"/>
          <w:b/>
          <w:bCs/>
          <w:sz w:val="24"/>
          <w:szCs w:val="24"/>
        </w:rPr>
        <w:t>A</w:t>
      </w:r>
      <w:r w:rsidR="00345527">
        <w:rPr>
          <w:rFonts w:ascii="Times New Roman" w:hAnsi="Times New Roman" w:cs="Times New Roman"/>
          <w:b/>
          <w:bCs/>
          <w:sz w:val="24"/>
          <w:szCs w:val="24"/>
        </w:rPr>
        <w:t>mministrazione (PA)</w:t>
      </w:r>
      <w:r w:rsidRPr="008D16A6">
        <w:rPr>
          <w:rFonts w:ascii="Times New Roman" w:hAnsi="Times New Roman" w:cs="Times New Roman"/>
          <w:b/>
          <w:bCs/>
          <w:sz w:val="24"/>
          <w:szCs w:val="24"/>
        </w:rPr>
        <w:t xml:space="preserve"> </w:t>
      </w:r>
    </w:p>
    <w:p w14:paraId="470597FA" w14:textId="1A6D5107" w:rsidR="000A2305" w:rsidRPr="008D16A6" w:rsidRDefault="000A2305" w:rsidP="008D16A6">
      <w:pPr>
        <w:spacing w:line="240" w:lineRule="auto"/>
        <w:jc w:val="both"/>
        <w:rPr>
          <w:rFonts w:ascii="Times New Roman" w:hAnsi="Times New Roman" w:cs="Times New Roman"/>
          <w:sz w:val="24"/>
          <w:szCs w:val="24"/>
        </w:rPr>
      </w:pPr>
      <w:r w:rsidRPr="008D16A6">
        <w:rPr>
          <w:rFonts w:ascii="Times New Roman" w:hAnsi="Times New Roman" w:cs="Times New Roman"/>
          <w:sz w:val="24"/>
          <w:szCs w:val="24"/>
        </w:rPr>
        <w:t xml:space="preserve">L’innovazione nel settore pubblico si configura come risposta necessaria alle rapide trasformazioni tecnologiche e alla crescente domanda di servizi digitali, personalizzati e orientati all’utente. Essa implica il superamento della visione burocratica tradizionale e l’adozione di approcci più flessibili, adattivi e centrati sul valore pubblico. Il concetto include diverse tipologie di innovazione (di prodotto, di processo, organizzativa e comunicativa) che mirano al miglioramento significativo dell’efficienza, della qualità e della capacità di risposta delle istituzioni (Bloch, 2011; </w:t>
      </w:r>
      <w:proofErr w:type="spellStart"/>
      <w:r w:rsidRPr="008D16A6">
        <w:rPr>
          <w:rFonts w:ascii="Times New Roman" w:hAnsi="Times New Roman" w:cs="Times New Roman"/>
          <w:sz w:val="24"/>
          <w:szCs w:val="24"/>
        </w:rPr>
        <w:t>Demir</w:t>
      </w:r>
      <w:proofErr w:type="spellEnd"/>
      <w:r w:rsidRPr="008D16A6">
        <w:rPr>
          <w:rFonts w:ascii="Times New Roman" w:hAnsi="Times New Roman" w:cs="Times New Roman"/>
          <w:sz w:val="24"/>
          <w:szCs w:val="24"/>
        </w:rPr>
        <w:t>, 2022).</w:t>
      </w:r>
      <w:r w:rsidR="00B35EC2" w:rsidRPr="008D16A6">
        <w:rPr>
          <w:rFonts w:ascii="Times New Roman" w:hAnsi="Times New Roman" w:cs="Times New Roman"/>
          <w:sz w:val="24"/>
          <w:szCs w:val="24"/>
        </w:rPr>
        <w:t xml:space="preserve"> </w:t>
      </w:r>
      <w:r w:rsidRPr="008D16A6">
        <w:rPr>
          <w:rFonts w:ascii="Times New Roman" w:hAnsi="Times New Roman" w:cs="Times New Roman"/>
          <w:sz w:val="24"/>
          <w:szCs w:val="24"/>
        </w:rPr>
        <w:t>In sintesi, il concetto di innovazione nel settore pubblico si riferisce al miglioramento significativo dei servizi erogati dalle istituzioni pubbliche, sia in termini di contenuti sia di strumenti. Molti di questi approcci conducono alla creazione di servizi pubblici più intelligenti, maggiormente orientati all’utente, più reattivi e meglio definiti (</w:t>
      </w:r>
      <w:proofErr w:type="spellStart"/>
      <w:r w:rsidRPr="008D16A6">
        <w:rPr>
          <w:rFonts w:ascii="Times New Roman" w:hAnsi="Times New Roman" w:cs="Times New Roman"/>
          <w:sz w:val="24"/>
          <w:szCs w:val="24"/>
        </w:rPr>
        <w:t>Demir</w:t>
      </w:r>
      <w:proofErr w:type="spellEnd"/>
      <w:r w:rsidRPr="008D16A6">
        <w:rPr>
          <w:rFonts w:ascii="Times New Roman" w:hAnsi="Times New Roman" w:cs="Times New Roman"/>
          <w:sz w:val="24"/>
          <w:szCs w:val="24"/>
        </w:rPr>
        <w:t>, 2022)</w:t>
      </w:r>
      <w:r w:rsidR="004D2CF8">
        <w:rPr>
          <w:rFonts w:ascii="Times New Roman" w:hAnsi="Times New Roman" w:cs="Times New Roman"/>
          <w:sz w:val="24"/>
          <w:szCs w:val="24"/>
        </w:rPr>
        <w:t>.</w:t>
      </w:r>
    </w:p>
    <w:p w14:paraId="5C449695" w14:textId="334A13B1" w:rsidR="004D67FF" w:rsidRPr="008D16A6" w:rsidRDefault="00F41241" w:rsidP="008D16A6">
      <w:pPr>
        <w:spacing w:line="240" w:lineRule="auto"/>
        <w:jc w:val="both"/>
        <w:rPr>
          <w:rFonts w:ascii="Times New Roman" w:hAnsi="Times New Roman" w:cs="Times New Roman"/>
          <w:sz w:val="24"/>
          <w:szCs w:val="24"/>
        </w:rPr>
      </w:pPr>
      <w:r w:rsidRPr="00F41241">
        <w:rPr>
          <w:rFonts w:ascii="Times New Roman" w:hAnsi="Times New Roman" w:cs="Times New Roman"/>
          <w:sz w:val="24"/>
          <w:szCs w:val="24"/>
        </w:rPr>
        <w:t xml:space="preserve">Sebbene l’innovazione nel settore pubblico emerga da dinamiche istituzionali e sociali complesse, essa rimane fondamentalmente un’attività umana. </w:t>
      </w:r>
      <w:r w:rsidR="00345527">
        <w:rPr>
          <w:rFonts w:ascii="Times New Roman" w:hAnsi="Times New Roman" w:cs="Times New Roman"/>
          <w:sz w:val="24"/>
          <w:szCs w:val="24"/>
        </w:rPr>
        <w:t>Per questo motivo</w:t>
      </w:r>
      <w:r w:rsidRPr="00F41241">
        <w:rPr>
          <w:rFonts w:ascii="Times New Roman" w:hAnsi="Times New Roman" w:cs="Times New Roman"/>
          <w:sz w:val="24"/>
          <w:szCs w:val="24"/>
        </w:rPr>
        <w:t>, individuare le fonti individuali dell’innovazione all’interno delle amministrazioni pubbliche contemporanee si rivela particolarmente arduo a causa di vincoli organizzativi, culturali e normativi. Innovare nella sfera pubblica implica spesso trasformazioni radicali, che richiedono il potenziamento delle competenze e dell’autonomia dei funzionari, oltre a una maggiore capacità di adattamento e sperimentazione.</w:t>
      </w:r>
      <w:r w:rsidR="00B35EC2" w:rsidRPr="008D16A6">
        <w:rPr>
          <w:rFonts w:ascii="Times New Roman" w:hAnsi="Times New Roman" w:cs="Times New Roman"/>
          <w:sz w:val="24"/>
          <w:szCs w:val="24"/>
        </w:rPr>
        <w:t xml:space="preserve"> </w:t>
      </w:r>
      <w:r w:rsidRPr="00F41241">
        <w:rPr>
          <w:rFonts w:ascii="Times New Roman" w:hAnsi="Times New Roman" w:cs="Times New Roman"/>
          <w:sz w:val="24"/>
          <w:szCs w:val="24"/>
        </w:rPr>
        <w:t>Le strutture gerarchiche verticali, la riservatezza e l’avversione al rischio tipiche delle burocrazie pubbliche ostacolano la diffusione di approcci collaborativi e</w:t>
      </w:r>
      <w:r w:rsidR="004D2CF8">
        <w:rPr>
          <w:rFonts w:ascii="Times New Roman" w:hAnsi="Times New Roman" w:cs="Times New Roman"/>
          <w:sz w:val="24"/>
          <w:szCs w:val="24"/>
        </w:rPr>
        <w:t xml:space="preserve"> adattabili</w:t>
      </w:r>
      <w:r w:rsidR="007F7526">
        <w:rPr>
          <w:rFonts w:ascii="Times New Roman" w:hAnsi="Times New Roman" w:cs="Times New Roman"/>
          <w:sz w:val="24"/>
          <w:szCs w:val="24"/>
        </w:rPr>
        <w:t xml:space="preserve"> (Mu e Wang, 2020; </w:t>
      </w:r>
      <w:proofErr w:type="spellStart"/>
      <w:r w:rsidR="007F7526">
        <w:rPr>
          <w:rFonts w:ascii="Times New Roman" w:hAnsi="Times New Roman" w:cs="Times New Roman"/>
          <w:sz w:val="24"/>
          <w:szCs w:val="24"/>
        </w:rPr>
        <w:t>Demir</w:t>
      </w:r>
      <w:proofErr w:type="spellEnd"/>
      <w:r w:rsidR="007F7526">
        <w:rPr>
          <w:rFonts w:ascii="Times New Roman" w:hAnsi="Times New Roman" w:cs="Times New Roman"/>
          <w:sz w:val="24"/>
          <w:szCs w:val="24"/>
        </w:rPr>
        <w:t>, 2022)</w:t>
      </w:r>
      <w:r w:rsidRPr="00F41241">
        <w:rPr>
          <w:rFonts w:ascii="Times New Roman" w:hAnsi="Times New Roman" w:cs="Times New Roman"/>
          <w:sz w:val="24"/>
          <w:szCs w:val="24"/>
        </w:rPr>
        <w:t xml:space="preserve">. A ciò si aggiunge la percezione diffusa che norme e vincoli di bilancio </w:t>
      </w:r>
      <w:r w:rsidRPr="00F41241">
        <w:rPr>
          <w:rFonts w:ascii="Times New Roman" w:hAnsi="Times New Roman" w:cs="Times New Roman"/>
          <w:sz w:val="24"/>
          <w:szCs w:val="24"/>
        </w:rPr>
        <w:lastRenderedPageBreak/>
        <w:t>costituiscano barriere insormontabili, nonostante crescenti evidenze indichino che il vero ostacolo risieda spesso nell’interpretazione delle regole piuttosto che nella loro formulazione.</w:t>
      </w:r>
      <w:r w:rsidR="00B35EC2" w:rsidRPr="008D16A6">
        <w:rPr>
          <w:rFonts w:ascii="Times New Roman" w:hAnsi="Times New Roman" w:cs="Times New Roman"/>
          <w:sz w:val="24"/>
          <w:szCs w:val="24"/>
        </w:rPr>
        <w:t xml:space="preserve"> </w:t>
      </w:r>
      <w:r w:rsidRPr="00F41241">
        <w:rPr>
          <w:rFonts w:ascii="Times New Roman" w:hAnsi="Times New Roman" w:cs="Times New Roman"/>
          <w:sz w:val="24"/>
          <w:szCs w:val="24"/>
        </w:rPr>
        <w:t>Affinché l’innovazione sia efficace, è necessaria una conoscenza approfondita dei bisogni emergenti e un investimento mirato in strumenti, sistemi e modelli gestionali. Le evidenze empiriche indicano che l’innovazione pubblica non si limita al settore pubblico in senso stretto, ma nasce dall’interazione tra creatività e collaborazione per affrontare sfide complesse e generare valore pubblico attraverso pratiche più partecipative e flessibili. La sfida strategica principale consiste nell’istituzionalizzare una cultura dell’innovazione, rendendola parte integrante della mentalità dei funzionari e delle pratiche organizzative.</w:t>
      </w:r>
      <w:r w:rsidR="00345527">
        <w:rPr>
          <w:rFonts w:ascii="Times New Roman" w:hAnsi="Times New Roman" w:cs="Times New Roman"/>
          <w:sz w:val="24"/>
          <w:szCs w:val="24"/>
        </w:rPr>
        <w:t xml:space="preserve"> </w:t>
      </w:r>
      <w:r w:rsidRPr="008D16A6">
        <w:rPr>
          <w:rFonts w:ascii="Times New Roman" w:hAnsi="Times New Roman" w:cs="Times New Roman"/>
          <w:sz w:val="24"/>
          <w:szCs w:val="24"/>
        </w:rPr>
        <w:t>I</w:t>
      </w:r>
      <w:r w:rsidR="004D67FF" w:rsidRPr="008D16A6">
        <w:rPr>
          <w:rFonts w:ascii="Times New Roman" w:hAnsi="Times New Roman" w:cs="Times New Roman"/>
          <w:sz w:val="24"/>
          <w:szCs w:val="24"/>
        </w:rPr>
        <w:t>n tal senso, l’adozione di una “filosofia del servizio pubblico” si configura come prerequisito essenziale per la transizione al digitale, un processo che richiede un impegno sostanziale, soprattutto perché in molti Paesi l’immagine del servizio pubblico agli occhi dei cittadini è negativa, confusa e deteriorata</w:t>
      </w:r>
      <w:r w:rsidR="00345527">
        <w:rPr>
          <w:rFonts w:ascii="Times New Roman" w:hAnsi="Times New Roman" w:cs="Times New Roman"/>
          <w:sz w:val="24"/>
          <w:szCs w:val="24"/>
        </w:rPr>
        <w:t xml:space="preserve"> (De Vries et al., 2016;</w:t>
      </w:r>
      <w:r w:rsidR="0039646E">
        <w:rPr>
          <w:rFonts w:ascii="Times New Roman" w:hAnsi="Times New Roman" w:cs="Times New Roman"/>
          <w:sz w:val="24"/>
          <w:szCs w:val="24"/>
        </w:rPr>
        <w:t xml:space="preserve"> Hartley e </w:t>
      </w:r>
      <w:proofErr w:type="spellStart"/>
      <w:r w:rsidR="0039646E">
        <w:rPr>
          <w:rFonts w:ascii="Times New Roman" w:hAnsi="Times New Roman" w:cs="Times New Roman"/>
          <w:sz w:val="24"/>
          <w:szCs w:val="24"/>
        </w:rPr>
        <w:t>Knell</w:t>
      </w:r>
      <w:proofErr w:type="spellEnd"/>
      <w:r w:rsidR="0039646E">
        <w:rPr>
          <w:rFonts w:ascii="Times New Roman" w:hAnsi="Times New Roman" w:cs="Times New Roman"/>
          <w:sz w:val="24"/>
          <w:szCs w:val="24"/>
        </w:rPr>
        <w:t xml:space="preserve">, </w:t>
      </w:r>
      <w:r w:rsidR="003C641A">
        <w:rPr>
          <w:rFonts w:ascii="Times New Roman" w:hAnsi="Times New Roman" w:cs="Times New Roman"/>
          <w:sz w:val="24"/>
          <w:szCs w:val="24"/>
        </w:rPr>
        <w:t xml:space="preserve">2022; </w:t>
      </w:r>
      <w:proofErr w:type="spellStart"/>
      <w:r w:rsidR="003C641A">
        <w:rPr>
          <w:rFonts w:ascii="Times New Roman" w:hAnsi="Times New Roman" w:cs="Times New Roman"/>
          <w:sz w:val="24"/>
          <w:szCs w:val="24"/>
        </w:rPr>
        <w:t>Demir</w:t>
      </w:r>
      <w:proofErr w:type="spellEnd"/>
      <w:r w:rsidR="00345527">
        <w:rPr>
          <w:rFonts w:ascii="Times New Roman" w:hAnsi="Times New Roman" w:cs="Times New Roman"/>
          <w:sz w:val="24"/>
          <w:szCs w:val="24"/>
        </w:rPr>
        <w:t>, 2022</w:t>
      </w:r>
      <w:r w:rsidR="0039646E">
        <w:rPr>
          <w:rFonts w:ascii="Times New Roman" w:hAnsi="Times New Roman" w:cs="Times New Roman"/>
          <w:sz w:val="24"/>
          <w:szCs w:val="24"/>
        </w:rPr>
        <w:t>).</w:t>
      </w:r>
    </w:p>
    <w:p w14:paraId="1BB91E47" w14:textId="0A86DBC5" w:rsidR="00B35EC2" w:rsidRPr="008D16A6" w:rsidRDefault="00B35EC2" w:rsidP="008D16A6">
      <w:pPr>
        <w:pStyle w:val="Paragrafoelenco"/>
        <w:numPr>
          <w:ilvl w:val="0"/>
          <w:numId w:val="12"/>
        </w:numPr>
        <w:spacing w:line="240" w:lineRule="auto"/>
        <w:jc w:val="both"/>
        <w:rPr>
          <w:rFonts w:ascii="Times New Roman" w:hAnsi="Times New Roman" w:cs="Times New Roman"/>
          <w:b/>
          <w:bCs/>
          <w:sz w:val="24"/>
          <w:szCs w:val="24"/>
        </w:rPr>
      </w:pPr>
      <w:r w:rsidRPr="008D16A6">
        <w:rPr>
          <w:rFonts w:ascii="Times New Roman" w:hAnsi="Times New Roman" w:cs="Times New Roman"/>
          <w:b/>
          <w:bCs/>
          <w:sz w:val="24"/>
          <w:szCs w:val="24"/>
        </w:rPr>
        <w:t>Innovazione della PA: il Centro Servizi di Supporto Territoriale (CST)</w:t>
      </w:r>
    </w:p>
    <w:p w14:paraId="04BF2B88" w14:textId="204E71CB" w:rsidR="003C641A" w:rsidRDefault="00921B38" w:rsidP="00921B38">
      <w:pPr>
        <w:spacing w:line="240" w:lineRule="auto"/>
        <w:jc w:val="both"/>
        <w:rPr>
          <w:rFonts w:ascii="Times New Roman" w:hAnsi="Times New Roman" w:cs="Times New Roman"/>
          <w:sz w:val="24"/>
          <w:szCs w:val="24"/>
        </w:rPr>
      </w:pPr>
      <w:r>
        <w:rPr>
          <w:rFonts w:ascii="Times New Roman" w:hAnsi="Times New Roman" w:cs="Times New Roman"/>
          <w:sz w:val="24"/>
          <w:szCs w:val="24"/>
        </w:rPr>
        <w:t>Come detto in precedenza, l</w:t>
      </w:r>
      <w:r w:rsidRPr="00921B38">
        <w:rPr>
          <w:rFonts w:ascii="Times New Roman" w:hAnsi="Times New Roman" w:cs="Times New Roman"/>
          <w:sz w:val="24"/>
          <w:szCs w:val="24"/>
        </w:rPr>
        <w:t>a Politica Di Coesione rappresenta lo strumento cardine strategico per il superamento dei divari territoriali e la convergenza economica, sociale e territoriale tra le regioni europee, con particolare attenzione ai territori caratterizzati da persistenti divari di sviluppo. In Italia, le sette regioni meno sviluppate (Basilicata, Calabria, Campania, Molise, Puglia, Sardegna e Sicilia) costituiscono l’area prioritaria di intervento per l’attuazione delle risorse FESR e FSE+</w:t>
      </w:r>
      <w:r w:rsidR="00F54386">
        <w:rPr>
          <w:rStyle w:val="Rimandonotadichiusura"/>
          <w:rFonts w:ascii="Times New Roman" w:hAnsi="Times New Roman" w:cs="Times New Roman"/>
          <w:sz w:val="24"/>
          <w:szCs w:val="24"/>
        </w:rPr>
        <w:endnoteReference w:id="2"/>
      </w:r>
      <w:r w:rsidR="00F54386" w:rsidRPr="00921B38">
        <w:rPr>
          <w:rFonts w:ascii="Times New Roman" w:hAnsi="Times New Roman" w:cs="Times New Roman"/>
          <w:sz w:val="24"/>
          <w:szCs w:val="24"/>
        </w:rPr>
        <w:t xml:space="preserve"> (anche JTF</w:t>
      </w:r>
      <w:r w:rsidR="00F54386">
        <w:rPr>
          <w:rStyle w:val="Rimandonotadichiusura"/>
          <w:rFonts w:ascii="Times New Roman" w:hAnsi="Times New Roman" w:cs="Times New Roman"/>
          <w:sz w:val="24"/>
          <w:szCs w:val="24"/>
        </w:rPr>
        <w:endnoteReference w:id="3"/>
      </w:r>
      <w:r w:rsidR="00F54386" w:rsidRPr="00921B38">
        <w:rPr>
          <w:rFonts w:ascii="Times New Roman" w:hAnsi="Times New Roman" w:cs="Times New Roman"/>
          <w:sz w:val="24"/>
          <w:szCs w:val="24"/>
        </w:rPr>
        <w:t xml:space="preserve"> </w:t>
      </w:r>
      <w:r w:rsidRPr="00921B38">
        <w:rPr>
          <w:rFonts w:ascii="Times New Roman" w:hAnsi="Times New Roman" w:cs="Times New Roman"/>
          <w:sz w:val="24"/>
          <w:szCs w:val="24"/>
        </w:rPr>
        <w:t xml:space="preserve">solo per Puglia e Sardegna) nel ciclo di programmazione 2021–2027. </w:t>
      </w:r>
    </w:p>
    <w:p w14:paraId="309521B6" w14:textId="3C416A17" w:rsidR="00921B38" w:rsidRDefault="00921B38" w:rsidP="00921B38">
      <w:pPr>
        <w:spacing w:line="240" w:lineRule="auto"/>
        <w:jc w:val="both"/>
        <w:rPr>
          <w:rFonts w:ascii="Times New Roman" w:hAnsi="Times New Roman" w:cs="Times New Roman"/>
          <w:sz w:val="24"/>
          <w:szCs w:val="24"/>
        </w:rPr>
      </w:pPr>
      <w:r w:rsidRPr="00921B38">
        <w:rPr>
          <w:rFonts w:ascii="Times New Roman" w:hAnsi="Times New Roman" w:cs="Times New Roman"/>
          <w:sz w:val="24"/>
          <w:szCs w:val="24"/>
        </w:rPr>
        <w:t xml:space="preserve">All’interno di questo quadro, l’innovazione della </w:t>
      </w:r>
      <w:r>
        <w:rPr>
          <w:rFonts w:ascii="Times New Roman" w:hAnsi="Times New Roman" w:cs="Times New Roman"/>
          <w:sz w:val="24"/>
          <w:szCs w:val="24"/>
        </w:rPr>
        <w:t>PA</w:t>
      </w:r>
      <w:r w:rsidR="0039646E">
        <w:rPr>
          <w:rFonts w:ascii="Times New Roman" w:hAnsi="Times New Roman" w:cs="Times New Roman"/>
          <w:sz w:val="24"/>
          <w:szCs w:val="24"/>
        </w:rPr>
        <w:t>,</w:t>
      </w:r>
      <w:r>
        <w:rPr>
          <w:rFonts w:ascii="Times New Roman" w:hAnsi="Times New Roman" w:cs="Times New Roman"/>
          <w:sz w:val="24"/>
          <w:szCs w:val="24"/>
        </w:rPr>
        <w:t xml:space="preserve"> </w:t>
      </w:r>
      <w:r w:rsidR="0039646E">
        <w:rPr>
          <w:rFonts w:ascii="Times New Roman" w:hAnsi="Times New Roman" w:cs="Times New Roman"/>
          <w:sz w:val="24"/>
          <w:szCs w:val="24"/>
        </w:rPr>
        <w:t xml:space="preserve">attraverso le misure di </w:t>
      </w:r>
      <w:proofErr w:type="spellStart"/>
      <w:r w:rsidR="0039646E" w:rsidRPr="0039646E">
        <w:rPr>
          <w:rFonts w:ascii="Times New Roman" w:hAnsi="Times New Roman" w:cs="Times New Roman"/>
          <w:i/>
          <w:iCs/>
          <w:sz w:val="24"/>
          <w:szCs w:val="24"/>
        </w:rPr>
        <w:t>capacity</w:t>
      </w:r>
      <w:proofErr w:type="spellEnd"/>
      <w:r w:rsidR="0039646E" w:rsidRPr="0039646E">
        <w:rPr>
          <w:rFonts w:ascii="Times New Roman" w:hAnsi="Times New Roman" w:cs="Times New Roman"/>
          <w:i/>
          <w:iCs/>
          <w:sz w:val="24"/>
          <w:szCs w:val="24"/>
        </w:rPr>
        <w:t xml:space="preserve"> building</w:t>
      </w:r>
      <w:r w:rsidR="0039646E">
        <w:rPr>
          <w:rFonts w:ascii="Times New Roman" w:hAnsi="Times New Roman" w:cs="Times New Roman"/>
          <w:i/>
          <w:iCs/>
          <w:sz w:val="24"/>
          <w:szCs w:val="24"/>
        </w:rPr>
        <w:t>,</w:t>
      </w:r>
      <w:r w:rsidR="0039646E">
        <w:rPr>
          <w:rFonts w:ascii="Times New Roman" w:hAnsi="Times New Roman" w:cs="Times New Roman"/>
          <w:sz w:val="24"/>
          <w:szCs w:val="24"/>
        </w:rPr>
        <w:t xml:space="preserve"> </w:t>
      </w:r>
      <w:r w:rsidRPr="00921B38">
        <w:rPr>
          <w:rFonts w:ascii="Times New Roman" w:hAnsi="Times New Roman" w:cs="Times New Roman"/>
          <w:sz w:val="24"/>
          <w:szCs w:val="24"/>
        </w:rPr>
        <w:t xml:space="preserve">è considerata una condizione abilitante per migliorare l’efficacia delle politiche pubbliche, l’efficienza nell’utilizzo dei </w:t>
      </w:r>
      <w:r w:rsidR="0039646E">
        <w:rPr>
          <w:rFonts w:ascii="Times New Roman" w:hAnsi="Times New Roman" w:cs="Times New Roman"/>
          <w:sz w:val="24"/>
          <w:szCs w:val="24"/>
        </w:rPr>
        <w:t>F</w:t>
      </w:r>
      <w:r w:rsidRPr="00921B38">
        <w:rPr>
          <w:rFonts w:ascii="Times New Roman" w:hAnsi="Times New Roman" w:cs="Times New Roman"/>
          <w:sz w:val="24"/>
          <w:szCs w:val="24"/>
        </w:rPr>
        <w:t xml:space="preserve">ondi </w:t>
      </w:r>
      <w:r w:rsidR="0039646E">
        <w:rPr>
          <w:rFonts w:ascii="Times New Roman" w:hAnsi="Times New Roman" w:cs="Times New Roman"/>
          <w:sz w:val="24"/>
          <w:szCs w:val="24"/>
        </w:rPr>
        <w:t>S</w:t>
      </w:r>
      <w:r w:rsidRPr="00921B38">
        <w:rPr>
          <w:rFonts w:ascii="Times New Roman" w:hAnsi="Times New Roman" w:cs="Times New Roman"/>
          <w:sz w:val="24"/>
          <w:szCs w:val="24"/>
        </w:rPr>
        <w:t>trutturali e d’</w:t>
      </w:r>
      <w:r w:rsidR="0039646E">
        <w:rPr>
          <w:rFonts w:ascii="Times New Roman" w:hAnsi="Times New Roman" w:cs="Times New Roman"/>
          <w:sz w:val="24"/>
          <w:szCs w:val="24"/>
        </w:rPr>
        <w:t>I</w:t>
      </w:r>
      <w:r w:rsidRPr="00921B38">
        <w:rPr>
          <w:rFonts w:ascii="Times New Roman" w:hAnsi="Times New Roman" w:cs="Times New Roman"/>
          <w:sz w:val="24"/>
          <w:szCs w:val="24"/>
        </w:rPr>
        <w:t xml:space="preserve">nvestimento </w:t>
      </w:r>
      <w:r w:rsidR="0039646E">
        <w:rPr>
          <w:rFonts w:ascii="Times New Roman" w:hAnsi="Times New Roman" w:cs="Times New Roman"/>
          <w:sz w:val="24"/>
          <w:szCs w:val="24"/>
        </w:rPr>
        <w:t xml:space="preserve">Europei (SIE) </w:t>
      </w:r>
      <w:r w:rsidRPr="00921B38">
        <w:rPr>
          <w:rFonts w:ascii="Times New Roman" w:hAnsi="Times New Roman" w:cs="Times New Roman"/>
          <w:sz w:val="24"/>
          <w:szCs w:val="24"/>
        </w:rPr>
        <w:t xml:space="preserve">e la capacità di progettazione e gestione degli enti territoriali. </w:t>
      </w:r>
      <w:r w:rsidRPr="008D16A6">
        <w:rPr>
          <w:rFonts w:ascii="Times New Roman" w:hAnsi="Times New Roman" w:cs="Times New Roman"/>
          <w:sz w:val="24"/>
          <w:szCs w:val="24"/>
        </w:rPr>
        <w:t xml:space="preserve">Il Programma Nazionale di Assistenza Tecnica Capacità per la Coesione </w:t>
      </w:r>
      <w:r>
        <w:rPr>
          <w:rFonts w:ascii="Times New Roman" w:hAnsi="Times New Roman" w:cs="Times New Roman"/>
          <w:sz w:val="24"/>
          <w:szCs w:val="24"/>
        </w:rPr>
        <w:t>(</w:t>
      </w:r>
      <w:proofErr w:type="spellStart"/>
      <w:r w:rsidRPr="008D16A6">
        <w:rPr>
          <w:rFonts w:ascii="Times New Roman" w:hAnsi="Times New Roman" w:cs="Times New Roman"/>
          <w:sz w:val="24"/>
          <w:szCs w:val="24"/>
        </w:rPr>
        <w:t>CapCoe</w:t>
      </w:r>
      <w:proofErr w:type="spellEnd"/>
      <w:r>
        <w:rPr>
          <w:rFonts w:ascii="Times New Roman" w:hAnsi="Times New Roman" w:cs="Times New Roman"/>
          <w:sz w:val="24"/>
          <w:szCs w:val="24"/>
        </w:rPr>
        <w:t>)</w:t>
      </w:r>
      <w:r w:rsidRPr="008D16A6">
        <w:rPr>
          <w:rFonts w:ascii="Times New Roman" w:hAnsi="Times New Roman" w:cs="Times New Roman"/>
          <w:sz w:val="24"/>
          <w:szCs w:val="24"/>
        </w:rPr>
        <w:t xml:space="preserve"> è uno degli strumenti della Programmazione 2021-2027 e supporta il rafforzamento della capacità amministrativa per rendere più efficaci gli interventi di politica di coesione nel nostro Paese. Il </w:t>
      </w:r>
      <w:proofErr w:type="spellStart"/>
      <w:r w:rsidRPr="008D16A6">
        <w:rPr>
          <w:rFonts w:ascii="Times New Roman" w:hAnsi="Times New Roman" w:cs="Times New Roman"/>
          <w:sz w:val="24"/>
          <w:szCs w:val="24"/>
        </w:rPr>
        <w:t>CapCoe</w:t>
      </w:r>
      <w:proofErr w:type="spellEnd"/>
      <w:r w:rsidRPr="008D16A6">
        <w:rPr>
          <w:rFonts w:ascii="Times New Roman" w:hAnsi="Times New Roman" w:cs="Times New Roman"/>
          <w:sz w:val="24"/>
          <w:szCs w:val="24"/>
        </w:rPr>
        <w:t xml:space="preserve"> è </w:t>
      </w:r>
      <w:r w:rsidR="0039646E">
        <w:rPr>
          <w:rFonts w:ascii="Times New Roman" w:hAnsi="Times New Roman" w:cs="Times New Roman"/>
          <w:sz w:val="24"/>
          <w:szCs w:val="24"/>
        </w:rPr>
        <w:t>“</w:t>
      </w:r>
      <w:r w:rsidRPr="008D16A6">
        <w:rPr>
          <w:rFonts w:ascii="Times New Roman" w:hAnsi="Times New Roman" w:cs="Times New Roman"/>
          <w:sz w:val="24"/>
          <w:szCs w:val="24"/>
        </w:rPr>
        <w:t xml:space="preserve">gestito dal Dipartimento per le politiche di coesione e per il Sud della Presidenza del </w:t>
      </w:r>
      <w:r w:rsidR="008373D5" w:rsidRPr="008D16A6">
        <w:rPr>
          <w:rFonts w:ascii="Times New Roman" w:hAnsi="Times New Roman" w:cs="Times New Roman"/>
          <w:sz w:val="24"/>
          <w:szCs w:val="24"/>
        </w:rPr>
        <w:t>Consiglio dei ministri</w:t>
      </w:r>
      <w:r w:rsidRPr="008D16A6">
        <w:rPr>
          <w:rFonts w:ascii="Times New Roman" w:hAnsi="Times New Roman" w:cs="Times New Roman"/>
          <w:sz w:val="24"/>
          <w:szCs w:val="24"/>
        </w:rPr>
        <w:t xml:space="preserve"> e dispone di 1.267.433.334 euro tra risorse del </w:t>
      </w:r>
      <w:r>
        <w:rPr>
          <w:rFonts w:ascii="Times New Roman" w:hAnsi="Times New Roman" w:cs="Times New Roman"/>
          <w:sz w:val="24"/>
          <w:szCs w:val="24"/>
        </w:rPr>
        <w:t>FESR, FSE+</w:t>
      </w:r>
      <w:r w:rsidR="008373D5">
        <w:rPr>
          <w:rFonts w:ascii="Times New Roman" w:hAnsi="Times New Roman" w:cs="Times New Roman"/>
          <w:sz w:val="24"/>
          <w:szCs w:val="24"/>
        </w:rPr>
        <w:t>, JTF</w:t>
      </w:r>
      <w:r w:rsidR="0039646E">
        <w:rPr>
          <w:rFonts w:ascii="Times New Roman" w:hAnsi="Times New Roman" w:cs="Times New Roman"/>
          <w:sz w:val="24"/>
          <w:szCs w:val="24"/>
        </w:rPr>
        <w:t xml:space="preserve"> e cofinanziamento nazionale”</w:t>
      </w:r>
      <w:r>
        <w:rPr>
          <w:rFonts w:ascii="Times New Roman" w:hAnsi="Times New Roman" w:cs="Times New Roman"/>
          <w:sz w:val="24"/>
          <w:szCs w:val="24"/>
        </w:rPr>
        <w:t xml:space="preserve"> (</w:t>
      </w:r>
      <w:r w:rsidRPr="00921B38">
        <w:rPr>
          <w:rFonts w:ascii="Times New Roman" w:hAnsi="Times New Roman" w:cs="Times New Roman"/>
          <w:sz w:val="24"/>
          <w:szCs w:val="24"/>
        </w:rPr>
        <w:t>PN CAPCOE, 2021-2027)</w:t>
      </w:r>
      <w:r>
        <w:rPr>
          <w:rFonts w:ascii="Times New Roman" w:hAnsi="Times New Roman" w:cs="Times New Roman"/>
          <w:sz w:val="24"/>
          <w:szCs w:val="24"/>
        </w:rPr>
        <w:t>.</w:t>
      </w:r>
    </w:p>
    <w:p w14:paraId="5183DC5F" w14:textId="7A395082" w:rsidR="00921B38" w:rsidRDefault="00921B38" w:rsidP="00921B38">
      <w:pPr>
        <w:spacing w:line="240" w:lineRule="auto"/>
        <w:jc w:val="both"/>
        <w:rPr>
          <w:rFonts w:ascii="Times New Roman" w:hAnsi="Times New Roman" w:cs="Times New Roman"/>
          <w:sz w:val="24"/>
          <w:szCs w:val="24"/>
        </w:rPr>
      </w:pPr>
      <w:r w:rsidRPr="00921B38">
        <w:rPr>
          <w:rFonts w:ascii="Times New Roman" w:hAnsi="Times New Roman" w:cs="Times New Roman"/>
          <w:sz w:val="24"/>
          <w:szCs w:val="24"/>
        </w:rPr>
        <w:t>A tal proposito, il Centro Servizi di Supporto Territoriale (CST), realizzato</w:t>
      </w:r>
      <w:r w:rsidR="00A02FA8">
        <w:rPr>
          <w:rFonts w:ascii="Times New Roman" w:hAnsi="Times New Roman" w:cs="Times New Roman"/>
          <w:sz w:val="24"/>
          <w:szCs w:val="24"/>
        </w:rPr>
        <w:t xml:space="preserve"> </w:t>
      </w:r>
      <w:r w:rsidRPr="00921B38">
        <w:rPr>
          <w:rFonts w:ascii="Times New Roman" w:hAnsi="Times New Roman" w:cs="Times New Roman"/>
          <w:sz w:val="24"/>
          <w:szCs w:val="24"/>
        </w:rPr>
        <w:t xml:space="preserve">nell’ambito del </w:t>
      </w:r>
      <w:r w:rsidR="00A02FA8">
        <w:rPr>
          <w:rFonts w:ascii="Times New Roman" w:hAnsi="Times New Roman" w:cs="Times New Roman"/>
          <w:sz w:val="24"/>
          <w:szCs w:val="24"/>
        </w:rPr>
        <w:t xml:space="preserve">PN </w:t>
      </w:r>
      <w:proofErr w:type="spellStart"/>
      <w:r w:rsidR="00A02FA8">
        <w:rPr>
          <w:rFonts w:ascii="Times New Roman" w:hAnsi="Times New Roman" w:cs="Times New Roman"/>
          <w:sz w:val="24"/>
          <w:szCs w:val="24"/>
        </w:rPr>
        <w:t>CapCoe</w:t>
      </w:r>
      <w:proofErr w:type="spellEnd"/>
      <w:r w:rsidRPr="00921B38">
        <w:rPr>
          <w:rFonts w:ascii="Times New Roman" w:hAnsi="Times New Roman" w:cs="Times New Roman"/>
          <w:sz w:val="24"/>
          <w:szCs w:val="24"/>
        </w:rPr>
        <w:t xml:space="preserve">, intende supportare gli Enti Locali e/o Territoriali nella realizzazione di interventi/progetti cofinanziati dai fondi </w:t>
      </w:r>
      <w:r w:rsidR="0039646E">
        <w:rPr>
          <w:rFonts w:ascii="Times New Roman" w:hAnsi="Times New Roman" w:cs="Times New Roman"/>
          <w:sz w:val="24"/>
          <w:szCs w:val="24"/>
        </w:rPr>
        <w:t>FESR, FSE+ e JTF</w:t>
      </w:r>
      <w:r w:rsidRPr="00921B38">
        <w:rPr>
          <w:rFonts w:ascii="Times New Roman" w:hAnsi="Times New Roman" w:cs="Times New Roman"/>
          <w:sz w:val="24"/>
          <w:szCs w:val="24"/>
        </w:rPr>
        <w:t>. Questo aiuto si configura attraverso l’erogazione di servizi</w:t>
      </w:r>
      <w:r w:rsidR="0039646E">
        <w:rPr>
          <w:rFonts w:ascii="Times New Roman" w:hAnsi="Times New Roman" w:cs="Times New Roman"/>
          <w:sz w:val="24"/>
          <w:szCs w:val="24"/>
        </w:rPr>
        <w:t xml:space="preserve"> (in modalità sia </w:t>
      </w:r>
      <w:proofErr w:type="spellStart"/>
      <w:r w:rsidR="0039646E" w:rsidRPr="0039646E">
        <w:rPr>
          <w:rFonts w:ascii="Times New Roman" w:hAnsi="Times New Roman" w:cs="Times New Roman"/>
          <w:i/>
          <w:iCs/>
          <w:sz w:val="24"/>
          <w:szCs w:val="24"/>
        </w:rPr>
        <w:t>push</w:t>
      </w:r>
      <w:proofErr w:type="spellEnd"/>
      <w:r w:rsidR="0039646E">
        <w:rPr>
          <w:rFonts w:ascii="Times New Roman" w:hAnsi="Times New Roman" w:cs="Times New Roman"/>
          <w:sz w:val="24"/>
          <w:szCs w:val="24"/>
        </w:rPr>
        <w:t xml:space="preserve"> che </w:t>
      </w:r>
      <w:r w:rsidR="0039646E" w:rsidRPr="0039646E">
        <w:rPr>
          <w:rFonts w:ascii="Times New Roman" w:hAnsi="Times New Roman" w:cs="Times New Roman"/>
          <w:i/>
          <w:iCs/>
          <w:sz w:val="24"/>
          <w:szCs w:val="24"/>
        </w:rPr>
        <w:t>pull</w:t>
      </w:r>
      <w:r w:rsidR="0039646E">
        <w:rPr>
          <w:rFonts w:ascii="Times New Roman" w:hAnsi="Times New Roman" w:cs="Times New Roman"/>
          <w:sz w:val="24"/>
          <w:szCs w:val="24"/>
        </w:rPr>
        <w:t xml:space="preserve">, </w:t>
      </w:r>
      <w:proofErr w:type="spellStart"/>
      <w:r w:rsidR="0039646E">
        <w:rPr>
          <w:rFonts w:ascii="Times New Roman" w:hAnsi="Times New Roman" w:cs="Times New Roman"/>
          <w:sz w:val="24"/>
          <w:szCs w:val="24"/>
        </w:rPr>
        <w:t>remotizzati</w:t>
      </w:r>
      <w:proofErr w:type="spellEnd"/>
      <w:r w:rsidR="0039646E">
        <w:rPr>
          <w:rFonts w:ascii="Times New Roman" w:hAnsi="Times New Roman" w:cs="Times New Roman"/>
          <w:sz w:val="24"/>
          <w:szCs w:val="24"/>
        </w:rPr>
        <w:t xml:space="preserve"> e in loco)</w:t>
      </w:r>
      <w:r w:rsidRPr="00921B38">
        <w:rPr>
          <w:rFonts w:ascii="Times New Roman" w:hAnsi="Times New Roman" w:cs="Times New Roman"/>
          <w:sz w:val="24"/>
          <w:szCs w:val="24"/>
        </w:rPr>
        <w:t xml:space="preserve"> di assistenza e supporto tecnico-operativo</w:t>
      </w:r>
      <w:r w:rsidR="0039646E">
        <w:rPr>
          <w:rFonts w:ascii="Times New Roman" w:hAnsi="Times New Roman" w:cs="Times New Roman"/>
          <w:sz w:val="24"/>
          <w:szCs w:val="24"/>
        </w:rPr>
        <w:t xml:space="preserve"> su tutte le fasi di un progetto</w:t>
      </w:r>
      <w:r w:rsidRPr="00921B38">
        <w:rPr>
          <w:rFonts w:ascii="Times New Roman" w:hAnsi="Times New Roman" w:cs="Times New Roman"/>
          <w:sz w:val="24"/>
          <w:szCs w:val="24"/>
        </w:rPr>
        <w:t>, per il tramite di una piattaforma digitale, denominata “</w:t>
      </w:r>
      <w:proofErr w:type="spellStart"/>
      <w:r w:rsidRPr="00921B38">
        <w:rPr>
          <w:rFonts w:ascii="Times New Roman" w:hAnsi="Times New Roman" w:cs="Times New Roman"/>
          <w:sz w:val="24"/>
          <w:szCs w:val="24"/>
        </w:rPr>
        <w:t>AppCOE</w:t>
      </w:r>
      <w:proofErr w:type="spellEnd"/>
      <w:r w:rsidRPr="00921B38">
        <w:rPr>
          <w:rFonts w:ascii="Times New Roman" w:hAnsi="Times New Roman" w:cs="Times New Roman"/>
          <w:sz w:val="24"/>
          <w:szCs w:val="24"/>
        </w:rPr>
        <w:t>”</w:t>
      </w:r>
      <w:r w:rsidR="007F7526">
        <w:rPr>
          <w:rFonts w:ascii="Times New Roman" w:hAnsi="Times New Roman" w:cs="Times New Roman"/>
          <w:sz w:val="24"/>
          <w:szCs w:val="24"/>
        </w:rPr>
        <w:t>.</w:t>
      </w:r>
      <w:r w:rsidR="003F5C2B">
        <w:rPr>
          <w:rFonts w:ascii="Times New Roman" w:hAnsi="Times New Roman" w:cs="Times New Roman"/>
          <w:sz w:val="24"/>
          <w:szCs w:val="24"/>
        </w:rPr>
        <w:t xml:space="preserve"> Quest’ultima</w:t>
      </w:r>
      <w:r w:rsidRPr="00921B38">
        <w:rPr>
          <w:rFonts w:ascii="Times New Roman" w:hAnsi="Times New Roman" w:cs="Times New Roman"/>
          <w:sz w:val="24"/>
          <w:szCs w:val="24"/>
        </w:rPr>
        <w:t xml:space="preserve"> </w:t>
      </w:r>
      <w:r w:rsidR="003F5C2B">
        <w:rPr>
          <w:rFonts w:ascii="Times New Roman" w:hAnsi="Times New Roman" w:cs="Times New Roman"/>
          <w:sz w:val="24"/>
          <w:szCs w:val="24"/>
        </w:rPr>
        <w:t xml:space="preserve">è </w:t>
      </w:r>
      <w:r w:rsidRPr="00921B38">
        <w:rPr>
          <w:rFonts w:ascii="Times New Roman" w:hAnsi="Times New Roman" w:cs="Times New Roman"/>
          <w:sz w:val="24"/>
          <w:szCs w:val="24"/>
        </w:rPr>
        <w:t xml:space="preserve">rivolta agli enti locali delle sette regioni italiane meno sviluppate, con l’obiettivo di rafforzarne le competenze amministrative, digitali e gestionali, promuovere la standardizzazione dei processi, facilitare la progettazione integrata e assicurare un raccordo più efficace tra i diversi livelli di </w:t>
      </w:r>
      <w:r w:rsidRPr="004F0070">
        <w:rPr>
          <w:rFonts w:ascii="Times New Roman" w:hAnsi="Times New Roman" w:cs="Times New Roman"/>
          <w:i/>
          <w:iCs/>
          <w:sz w:val="24"/>
          <w:szCs w:val="24"/>
        </w:rPr>
        <w:t>governance</w:t>
      </w:r>
      <w:r w:rsidRPr="00921B38">
        <w:rPr>
          <w:rFonts w:ascii="Times New Roman" w:hAnsi="Times New Roman" w:cs="Times New Roman"/>
          <w:sz w:val="24"/>
          <w:szCs w:val="24"/>
        </w:rPr>
        <w:t>. Attraverso l’erogazione di servizi condivisi</w:t>
      </w:r>
      <w:r w:rsidR="003F5C2B">
        <w:rPr>
          <w:rFonts w:ascii="Times New Roman" w:hAnsi="Times New Roman" w:cs="Times New Roman"/>
          <w:sz w:val="24"/>
          <w:szCs w:val="24"/>
        </w:rPr>
        <w:t xml:space="preserve"> e</w:t>
      </w:r>
      <w:r w:rsidRPr="00921B38">
        <w:rPr>
          <w:rFonts w:ascii="Times New Roman" w:hAnsi="Times New Roman" w:cs="Times New Roman"/>
          <w:sz w:val="24"/>
          <w:szCs w:val="24"/>
        </w:rPr>
        <w:t xml:space="preserve"> la diffusione di modelli organizzativi innovativi, il progetto mira al potenziamento della capacità amministrativa e alla riduzione delle asimmetrie istituzionali, favorendo un approccio </w:t>
      </w:r>
      <w:r w:rsidRPr="00A02FA8">
        <w:rPr>
          <w:rFonts w:ascii="Times New Roman" w:hAnsi="Times New Roman" w:cs="Times New Roman"/>
          <w:i/>
          <w:iCs/>
          <w:sz w:val="24"/>
          <w:szCs w:val="24"/>
        </w:rPr>
        <w:t>place-</w:t>
      </w:r>
      <w:proofErr w:type="spellStart"/>
      <w:r w:rsidRPr="00A02FA8">
        <w:rPr>
          <w:rFonts w:ascii="Times New Roman" w:hAnsi="Times New Roman" w:cs="Times New Roman"/>
          <w:i/>
          <w:iCs/>
          <w:sz w:val="24"/>
          <w:szCs w:val="24"/>
        </w:rPr>
        <w:t>based</w:t>
      </w:r>
      <w:proofErr w:type="spellEnd"/>
      <w:r w:rsidRPr="00921B38">
        <w:rPr>
          <w:rFonts w:ascii="Times New Roman" w:hAnsi="Times New Roman" w:cs="Times New Roman"/>
          <w:sz w:val="24"/>
          <w:szCs w:val="24"/>
        </w:rPr>
        <w:t xml:space="preserve"> allo sviluppo territoriale e l’effettiva implementazione degli obiettivi della politica di coesione sul territorio.</w:t>
      </w:r>
      <w:r w:rsidR="008D50D3">
        <w:rPr>
          <w:rFonts w:ascii="Times New Roman" w:hAnsi="Times New Roman" w:cs="Times New Roman"/>
          <w:sz w:val="24"/>
          <w:szCs w:val="24"/>
        </w:rPr>
        <w:t xml:space="preserve"> </w:t>
      </w:r>
    </w:p>
    <w:p w14:paraId="3B845771" w14:textId="7A7E8700" w:rsidR="008D50D3" w:rsidRDefault="008D50D3" w:rsidP="00921B38">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Il CST</w:t>
      </w:r>
      <w:r w:rsidRPr="008D50D3">
        <w:rPr>
          <w:rFonts w:ascii="Times New Roman" w:hAnsi="Times New Roman" w:cs="Times New Roman"/>
          <w:sz w:val="24"/>
          <w:szCs w:val="24"/>
        </w:rPr>
        <w:t xml:space="preserve"> rappresenta</w:t>
      </w:r>
      <w:r>
        <w:rPr>
          <w:rFonts w:ascii="Times New Roman" w:hAnsi="Times New Roman" w:cs="Times New Roman"/>
          <w:sz w:val="24"/>
          <w:szCs w:val="24"/>
        </w:rPr>
        <w:t>, quindi,</w:t>
      </w:r>
      <w:r w:rsidRPr="008D50D3">
        <w:rPr>
          <w:rFonts w:ascii="Times New Roman" w:hAnsi="Times New Roman" w:cs="Times New Roman"/>
          <w:sz w:val="24"/>
          <w:szCs w:val="24"/>
        </w:rPr>
        <w:t xml:space="preserve"> un esempio paradigmatico </w:t>
      </w:r>
      <w:r w:rsidR="008373D5">
        <w:rPr>
          <w:rFonts w:ascii="Times New Roman" w:hAnsi="Times New Roman" w:cs="Times New Roman"/>
          <w:sz w:val="24"/>
          <w:szCs w:val="24"/>
        </w:rPr>
        <w:t xml:space="preserve">e concreto </w:t>
      </w:r>
      <w:r w:rsidRPr="008D50D3">
        <w:rPr>
          <w:rFonts w:ascii="Times New Roman" w:hAnsi="Times New Roman" w:cs="Times New Roman"/>
          <w:sz w:val="24"/>
          <w:szCs w:val="24"/>
        </w:rPr>
        <w:t xml:space="preserve">di </w:t>
      </w:r>
      <w:proofErr w:type="spellStart"/>
      <w:r w:rsidRPr="00E40F06">
        <w:rPr>
          <w:rFonts w:ascii="Times New Roman" w:hAnsi="Times New Roman" w:cs="Times New Roman"/>
          <w:i/>
          <w:iCs/>
          <w:sz w:val="24"/>
          <w:szCs w:val="24"/>
        </w:rPr>
        <w:t>capacity</w:t>
      </w:r>
      <w:proofErr w:type="spellEnd"/>
      <w:r w:rsidRPr="00E40F06">
        <w:rPr>
          <w:rFonts w:ascii="Times New Roman" w:hAnsi="Times New Roman" w:cs="Times New Roman"/>
          <w:i/>
          <w:iCs/>
          <w:sz w:val="24"/>
          <w:szCs w:val="24"/>
        </w:rPr>
        <w:t xml:space="preserve"> building place-</w:t>
      </w:r>
      <w:proofErr w:type="spellStart"/>
      <w:r w:rsidRPr="00E40F06">
        <w:rPr>
          <w:rFonts w:ascii="Times New Roman" w:hAnsi="Times New Roman" w:cs="Times New Roman"/>
          <w:i/>
          <w:iCs/>
          <w:sz w:val="24"/>
          <w:szCs w:val="24"/>
        </w:rPr>
        <w:t>based</w:t>
      </w:r>
      <w:proofErr w:type="spellEnd"/>
      <w:r w:rsidRPr="008D50D3">
        <w:rPr>
          <w:rFonts w:ascii="Times New Roman" w:hAnsi="Times New Roman" w:cs="Times New Roman"/>
          <w:sz w:val="24"/>
          <w:szCs w:val="24"/>
        </w:rPr>
        <w:t xml:space="preserve"> e di innovazione della P</w:t>
      </w:r>
      <w:r>
        <w:rPr>
          <w:rFonts w:ascii="Times New Roman" w:hAnsi="Times New Roman" w:cs="Times New Roman"/>
          <w:sz w:val="24"/>
          <w:szCs w:val="24"/>
        </w:rPr>
        <w:t>A</w:t>
      </w:r>
      <w:r w:rsidRPr="008D50D3">
        <w:rPr>
          <w:rFonts w:ascii="Times New Roman" w:hAnsi="Times New Roman" w:cs="Times New Roman"/>
          <w:sz w:val="24"/>
          <w:szCs w:val="24"/>
        </w:rPr>
        <w:t xml:space="preserve">. La sua funzione non si limita a fornire assistenza tecnica agli enti locali, ma mira a rafforzarne in modo strutturale le competenze amministrative e gestionali, adattando strumenti e metodologie alle specificità dei contesti territoriali. In questo senso, il CST incarna un approccio differenziato e contestualizzato, capace di superare la logica uniforme e lineare del </w:t>
      </w:r>
      <w:proofErr w:type="spellStart"/>
      <w:r w:rsidRPr="00E40F06">
        <w:rPr>
          <w:rFonts w:ascii="Times New Roman" w:hAnsi="Times New Roman" w:cs="Times New Roman"/>
          <w:i/>
          <w:iCs/>
          <w:sz w:val="24"/>
          <w:szCs w:val="24"/>
        </w:rPr>
        <w:t>capacity</w:t>
      </w:r>
      <w:proofErr w:type="spellEnd"/>
      <w:r w:rsidRPr="00E40F06">
        <w:rPr>
          <w:rFonts w:ascii="Times New Roman" w:hAnsi="Times New Roman" w:cs="Times New Roman"/>
          <w:i/>
          <w:iCs/>
          <w:sz w:val="24"/>
          <w:szCs w:val="24"/>
        </w:rPr>
        <w:t xml:space="preserve"> building </w:t>
      </w:r>
      <w:r w:rsidRPr="008D50D3">
        <w:rPr>
          <w:rFonts w:ascii="Times New Roman" w:hAnsi="Times New Roman" w:cs="Times New Roman"/>
          <w:sz w:val="24"/>
          <w:szCs w:val="24"/>
        </w:rPr>
        <w:t xml:space="preserve">tradizionale, e al contempo contribuisce a ridurre </w:t>
      </w:r>
      <w:r>
        <w:rPr>
          <w:rFonts w:ascii="Times New Roman" w:hAnsi="Times New Roman" w:cs="Times New Roman"/>
          <w:sz w:val="24"/>
          <w:szCs w:val="24"/>
        </w:rPr>
        <w:t>il sottosviluppo</w:t>
      </w:r>
      <w:r w:rsidRPr="008D50D3">
        <w:rPr>
          <w:rFonts w:ascii="Times New Roman" w:hAnsi="Times New Roman" w:cs="Times New Roman"/>
          <w:sz w:val="24"/>
          <w:szCs w:val="24"/>
        </w:rPr>
        <w:t xml:space="preserve"> istituzional</w:t>
      </w:r>
      <w:r>
        <w:rPr>
          <w:rFonts w:ascii="Times New Roman" w:hAnsi="Times New Roman" w:cs="Times New Roman"/>
          <w:sz w:val="24"/>
          <w:szCs w:val="24"/>
        </w:rPr>
        <w:t>e</w:t>
      </w:r>
      <w:r w:rsidRPr="008D50D3">
        <w:rPr>
          <w:rFonts w:ascii="Times New Roman" w:hAnsi="Times New Roman" w:cs="Times New Roman"/>
          <w:sz w:val="24"/>
          <w:szCs w:val="24"/>
        </w:rPr>
        <w:t>, rafforzando la governance multilivello e favorendo uno sviluppo territoriale più equo e sostenibile.</w:t>
      </w:r>
    </w:p>
    <w:p w14:paraId="15450F7C" w14:textId="27E58238" w:rsidR="006847B4" w:rsidRDefault="006847B4" w:rsidP="006847B4">
      <w:pPr>
        <w:pStyle w:val="Paragrafoelenco"/>
        <w:numPr>
          <w:ilvl w:val="0"/>
          <w:numId w:val="12"/>
        </w:numPr>
        <w:spacing w:line="240" w:lineRule="auto"/>
        <w:jc w:val="both"/>
        <w:rPr>
          <w:rFonts w:ascii="Times New Roman" w:hAnsi="Times New Roman" w:cs="Times New Roman"/>
          <w:b/>
          <w:bCs/>
          <w:sz w:val="24"/>
          <w:szCs w:val="24"/>
        </w:rPr>
      </w:pPr>
      <w:r w:rsidRPr="006847B4">
        <w:rPr>
          <w:rFonts w:ascii="Times New Roman" w:hAnsi="Times New Roman" w:cs="Times New Roman"/>
          <w:b/>
          <w:bCs/>
          <w:sz w:val="24"/>
          <w:szCs w:val="24"/>
        </w:rPr>
        <w:t xml:space="preserve">Conclusioni </w:t>
      </w:r>
    </w:p>
    <w:p w14:paraId="56C88750" w14:textId="6E5CE54B" w:rsidR="006847B4" w:rsidRPr="006847B4" w:rsidRDefault="006847B4" w:rsidP="006847B4">
      <w:pPr>
        <w:spacing w:line="240" w:lineRule="auto"/>
        <w:jc w:val="both"/>
        <w:rPr>
          <w:rFonts w:ascii="Times New Roman" w:hAnsi="Times New Roman" w:cs="Times New Roman"/>
          <w:sz w:val="24"/>
          <w:szCs w:val="24"/>
        </w:rPr>
      </w:pPr>
      <w:r w:rsidRPr="006847B4">
        <w:rPr>
          <w:rFonts w:ascii="Times New Roman" w:hAnsi="Times New Roman" w:cs="Times New Roman"/>
          <w:sz w:val="24"/>
          <w:szCs w:val="24"/>
        </w:rPr>
        <w:t>La Politica di Coesione si conferma uno strumento strategico e imprescindibile per ridurre le disparità economiche, sociali e territoriali tra le regioni europee. L’analisi ha mostrato come la qualità delle istituzioni e la capacità amministrativa siano determinanti per l’efficacia degli interventi, rispondendo così all</w:t>
      </w:r>
      <w:r w:rsidR="00E40F06">
        <w:rPr>
          <w:rFonts w:ascii="Times New Roman" w:hAnsi="Times New Roman" w:cs="Times New Roman"/>
          <w:sz w:val="24"/>
          <w:szCs w:val="24"/>
        </w:rPr>
        <w:t>e</w:t>
      </w:r>
      <w:r w:rsidRPr="006847B4">
        <w:rPr>
          <w:rFonts w:ascii="Times New Roman" w:hAnsi="Times New Roman" w:cs="Times New Roman"/>
          <w:sz w:val="24"/>
          <w:szCs w:val="24"/>
        </w:rPr>
        <w:t xml:space="preserve"> domand</w:t>
      </w:r>
      <w:r w:rsidR="00E40F06">
        <w:rPr>
          <w:rFonts w:ascii="Times New Roman" w:hAnsi="Times New Roman" w:cs="Times New Roman"/>
          <w:sz w:val="24"/>
          <w:szCs w:val="24"/>
        </w:rPr>
        <w:t>e</w:t>
      </w:r>
      <w:r w:rsidRPr="006847B4">
        <w:rPr>
          <w:rFonts w:ascii="Times New Roman" w:hAnsi="Times New Roman" w:cs="Times New Roman"/>
          <w:sz w:val="24"/>
          <w:szCs w:val="24"/>
        </w:rPr>
        <w:t xml:space="preserve"> </w:t>
      </w:r>
      <w:r w:rsidR="00E40F06">
        <w:rPr>
          <w:rFonts w:ascii="Times New Roman" w:hAnsi="Times New Roman" w:cs="Times New Roman"/>
          <w:sz w:val="24"/>
          <w:szCs w:val="24"/>
        </w:rPr>
        <w:t>del paper iniziali</w:t>
      </w:r>
      <w:r w:rsidRPr="006847B4">
        <w:rPr>
          <w:rFonts w:ascii="Times New Roman" w:hAnsi="Times New Roman" w:cs="Times New Roman"/>
          <w:sz w:val="24"/>
          <w:szCs w:val="24"/>
        </w:rPr>
        <w:t xml:space="preserve">: senza un rafforzamento della governance locale e processi di </w:t>
      </w:r>
      <w:proofErr w:type="spellStart"/>
      <w:r w:rsidRPr="00E40F06">
        <w:rPr>
          <w:rFonts w:ascii="Times New Roman" w:hAnsi="Times New Roman" w:cs="Times New Roman"/>
          <w:i/>
          <w:iCs/>
          <w:sz w:val="24"/>
          <w:szCs w:val="24"/>
        </w:rPr>
        <w:t>capacity</w:t>
      </w:r>
      <w:proofErr w:type="spellEnd"/>
      <w:r w:rsidRPr="00E40F06">
        <w:rPr>
          <w:rFonts w:ascii="Times New Roman" w:hAnsi="Times New Roman" w:cs="Times New Roman"/>
          <w:i/>
          <w:iCs/>
          <w:sz w:val="24"/>
          <w:szCs w:val="24"/>
        </w:rPr>
        <w:t xml:space="preserve"> building</w:t>
      </w:r>
      <w:r w:rsidRPr="006847B4">
        <w:rPr>
          <w:rFonts w:ascii="Times New Roman" w:hAnsi="Times New Roman" w:cs="Times New Roman"/>
          <w:sz w:val="24"/>
          <w:szCs w:val="24"/>
        </w:rPr>
        <w:t xml:space="preserve"> adattati ai contesti, gli investimenti rischiano di produrre risultati limitati o distorti. Il contributo evidenzia, inoltre, i limiti dei modelli uniformi e lineari, ribadendo la necessità di strategie </w:t>
      </w:r>
      <w:r w:rsidRPr="00E40F06">
        <w:rPr>
          <w:rFonts w:ascii="Times New Roman" w:hAnsi="Times New Roman" w:cs="Times New Roman"/>
          <w:i/>
          <w:iCs/>
          <w:sz w:val="24"/>
          <w:szCs w:val="24"/>
        </w:rPr>
        <w:t>place- e people-</w:t>
      </w:r>
      <w:proofErr w:type="spellStart"/>
      <w:r w:rsidRPr="00E40F06">
        <w:rPr>
          <w:rFonts w:ascii="Times New Roman" w:hAnsi="Times New Roman" w:cs="Times New Roman"/>
          <w:i/>
          <w:iCs/>
          <w:sz w:val="24"/>
          <w:szCs w:val="24"/>
        </w:rPr>
        <w:t>based</w:t>
      </w:r>
      <w:proofErr w:type="spellEnd"/>
      <w:r w:rsidRPr="006847B4">
        <w:rPr>
          <w:rFonts w:ascii="Times New Roman" w:hAnsi="Times New Roman" w:cs="Times New Roman"/>
          <w:sz w:val="24"/>
          <w:szCs w:val="24"/>
        </w:rPr>
        <w:t xml:space="preserve">. Dal punto di vista pratico, i risultati suggeriscono che l’innovazione nella PA e strumenti come il Centro Servizi di Supporto Territoriale (CST) possono tradursi in soluzioni operative per migliorare la progettazione, la gestione e l’attuazione delle politiche, con effetti positivi sulla convergenza territoriale. Il valore originale del contributo risiede nell’integrazione tra analisi teorica e applicativa, con una lettura critica dei modelli tradizionali di </w:t>
      </w:r>
      <w:proofErr w:type="spellStart"/>
      <w:r w:rsidRPr="00E40F06">
        <w:rPr>
          <w:rFonts w:ascii="Times New Roman" w:hAnsi="Times New Roman" w:cs="Times New Roman"/>
          <w:i/>
          <w:iCs/>
          <w:sz w:val="24"/>
          <w:szCs w:val="24"/>
        </w:rPr>
        <w:t>capacity</w:t>
      </w:r>
      <w:proofErr w:type="spellEnd"/>
      <w:r w:rsidRPr="00E40F06">
        <w:rPr>
          <w:rFonts w:ascii="Times New Roman" w:hAnsi="Times New Roman" w:cs="Times New Roman"/>
          <w:i/>
          <w:iCs/>
          <w:sz w:val="24"/>
          <w:szCs w:val="24"/>
        </w:rPr>
        <w:t xml:space="preserve"> building</w:t>
      </w:r>
      <w:r w:rsidRPr="006847B4">
        <w:rPr>
          <w:rFonts w:ascii="Times New Roman" w:hAnsi="Times New Roman" w:cs="Times New Roman"/>
          <w:sz w:val="24"/>
          <w:szCs w:val="24"/>
        </w:rPr>
        <w:t xml:space="preserve"> e la proposta di approcci innovativi. Tuttavia, </w:t>
      </w:r>
      <w:r w:rsidR="008D50D3">
        <w:rPr>
          <w:rFonts w:ascii="Times New Roman" w:hAnsi="Times New Roman" w:cs="Times New Roman"/>
          <w:sz w:val="24"/>
          <w:szCs w:val="24"/>
        </w:rPr>
        <w:t>il paper</w:t>
      </w:r>
      <w:r w:rsidRPr="006847B4">
        <w:rPr>
          <w:rFonts w:ascii="Times New Roman" w:hAnsi="Times New Roman" w:cs="Times New Roman"/>
          <w:sz w:val="24"/>
          <w:szCs w:val="24"/>
        </w:rPr>
        <w:t xml:space="preserve"> presenta alcuni limiti: in particolare, la sua natura prevalentemente concettuale, che richiede ulteriori verifiche empiriche, e la difficoltà di generalizzare </w:t>
      </w:r>
      <w:r w:rsidR="008D50D3">
        <w:rPr>
          <w:rFonts w:ascii="Times New Roman" w:hAnsi="Times New Roman" w:cs="Times New Roman"/>
          <w:sz w:val="24"/>
          <w:szCs w:val="24"/>
        </w:rPr>
        <w:t>la discussione</w:t>
      </w:r>
      <w:r w:rsidRPr="006847B4">
        <w:rPr>
          <w:rFonts w:ascii="Times New Roman" w:hAnsi="Times New Roman" w:cs="Times New Roman"/>
          <w:sz w:val="24"/>
          <w:szCs w:val="24"/>
        </w:rPr>
        <w:t xml:space="preserve"> oltre il contesto italiano ed europeo. In prospettiva, future ricerche dovrebbero approfondire l’impatto misurabile delle innovazioni amministrative sui livelli di coesione, esplorando anche comparazioni</w:t>
      </w:r>
      <w:r w:rsidR="00E40F06">
        <w:rPr>
          <w:rFonts w:ascii="Times New Roman" w:hAnsi="Times New Roman" w:cs="Times New Roman"/>
          <w:sz w:val="24"/>
          <w:szCs w:val="24"/>
        </w:rPr>
        <w:t xml:space="preserve"> con altri paesi europei o </w:t>
      </w:r>
      <w:r w:rsidRPr="006847B4">
        <w:rPr>
          <w:rFonts w:ascii="Times New Roman" w:hAnsi="Times New Roman" w:cs="Times New Roman"/>
          <w:sz w:val="24"/>
          <w:szCs w:val="24"/>
        </w:rPr>
        <w:t>internazionali.</w:t>
      </w:r>
    </w:p>
    <w:p w14:paraId="4D5E9302" w14:textId="77777777" w:rsidR="00A02FA8" w:rsidRDefault="00A02FA8" w:rsidP="00921B38">
      <w:pPr>
        <w:spacing w:line="240" w:lineRule="auto"/>
        <w:jc w:val="both"/>
        <w:rPr>
          <w:rFonts w:ascii="Times New Roman" w:hAnsi="Times New Roman" w:cs="Times New Roman"/>
          <w:sz w:val="24"/>
          <w:szCs w:val="24"/>
        </w:rPr>
      </w:pPr>
    </w:p>
    <w:p w14:paraId="39D98245" w14:textId="77777777" w:rsidR="006847B4" w:rsidRDefault="006847B4" w:rsidP="00921B38">
      <w:pPr>
        <w:spacing w:line="240" w:lineRule="auto"/>
        <w:jc w:val="both"/>
        <w:rPr>
          <w:rFonts w:ascii="Times New Roman" w:hAnsi="Times New Roman" w:cs="Times New Roman"/>
          <w:sz w:val="24"/>
          <w:szCs w:val="24"/>
        </w:rPr>
      </w:pPr>
    </w:p>
    <w:p w14:paraId="61BF607D" w14:textId="77777777" w:rsidR="006847B4" w:rsidRDefault="006847B4" w:rsidP="00921B38">
      <w:pPr>
        <w:spacing w:line="240" w:lineRule="auto"/>
        <w:jc w:val="both"/>
        <w:rPr>
          <w:rFonts w:ascii="Times New Roman" w:hAnsi="Times New Roman" w:cs="Times New Roman"/>
          <w:sz w:val="24"/>
          <w:szCs w:val="24"/>
        </w:rPr>
      </w:pPr>
    </w:p>
    <w:p w14:paraId="066A7B3F" w14:textId="77777777" w:rsidR="008D50D3" w:rsidRDefault="008D50D3" w:rsidP="00921B38">
      <w:pPr>
        <w:spacing w:line="240" w:lineRule="auto"/>
        <w:jc w:val="both"/>
        <w:rPr>
          <w:rFonts w:ascii="Times New Roman" w:hAnsi="Times New Roman" w:cs="Times New Roman"/>
          <w:sz w:val="24"/>
          <w:szCs w:val="24"/>
        </w:rPr>
      </w:pPr>
    </w:p>
    <w:p w14:paraId="24B121F0" w14:textId="77777777" w:rsidR="008D50D3" w:rsidRDefault="008D50D3" w:rsidP="00921B38">
      <w:pPr>
        <w:spacing w:line="240" w:lineRule="auto"/>
        <w:jc w:val="both"/>
        <w:rPr>
          <w:rFonts w:ascii="Times New Roman" w:hAnsi="Times New Roman" w:cs="Times New Roman"/>
          <w:sz w:val="24"/>
          <w:szCs w:val="24"/>
        </w:rPr>
      </w:pPr>
    </w:p>
    <w:p w14:paraId="695D4C78" w14:textId="77777777" w:rsidR="008D50D3" w:rsidRDefault="008D50D3" w:rsidP="00921B38">
      <w:pPr>
        <w:spacing w:line="240" w:lineRule="auto"/>
        <w:jc w:val="both"/>
        <w:rPr>
          <w:rFonts w:ascii="Times New Roman" w:hAnsi="Times New Roman" w:cs="Times New Roman"/>
          <w:sz w:val="24"/>
          <w:szCs w:val="24"/>
        </w:rPr>
      </w:pPr>
    </w:p>
    <w:p w14:paraId="5C6A7188" w14:textId="77777777" w:rsidR="008D50D3" w:rsidRDefault="008D50D3" w:rsidP="00921B38">
      <w:pPr>
        <w:spacing w:line="240" w:lineRule="auto"/>
        <w:jc w:val="both"/>
        <w:rPr>
          <w:rFonts w:ascii="Times New Roman" w:hAnsi="Times New Roman" w:cs="Times New Roman"/>
          <w:sz w:val="24"/>
          <w:szCs w:val="24"/>
        </w:rPr>
      </w:pPr>
    </w:p>
    <w:p w14:paraId="4F42E4C0" w14:textId="77777777" w:rsidR="006847B4" w:rsidRDefault="006847B4" w:rsidP="00921B38">
      <w:pPr>
        <w:spacing w:line="240" w:lineRule="auto"/>
        <w:jc w:val="both"/>
        <w:rPr>
          <w:rFonts w:ascii="Times New Roman" w:hAnsi="Times New Roman" w:cs="Times New Roman"/>
          <w:sz w:val="24"/>
          <w:szCs w:val="24"/>
        </w:rPr>
      </w:pPr>
    </w:p>
    <w:p w14:paraId="5EEF0DF6" w14:textId="77777777" w:rsidR="006847B4" w:rsidRDefault="006847B4" w:rsidP="00921B38">
      <w:pPr>
        <w:spacing w:line="240" w:lineRule="auto"/>
        <w:jc w:val="both"/>
        <w:rPr>
          <w:rFonts w:ascii="Times New Roman" w:hAnsi="Times New Roman" w:cs="Times New Roman"/>
          <w:sz w:val="24"/>
          <w:szCs w:val="24"/>
        </w:rPr>
      </w:pPr>
    </w:p>
    <w:p w14:paraId="165EF584" w14:textId="77777777" w:rsidR="006847B4" w:rsidRDefault="006847B4" w:rsidP="00921B38">
      <w:pPr>
        <w:spacing w:line="240" w:lineRule="auto"/>
        <w:jc w:val="both"/>
        <w:rPr>
          <w:rFonts w:ascii="Times New Roman" w:hAnsi="Times New Roman" w:cs="Times New Roman"/>
          <w:sz w:val="24"/>
          <w:szCs w:val="24"/>
        </w:rPr>
      </w:pPr>
    </w:p>
    <w:p w14:paraId="3F649095" w14:textId="77777777" w:rsidR="006847B4" w:rsidRDefault="006847B4" w:rsidP="00921B38">
      <w:pPr>
        <w:spacing w:line="240" w:lineRule="auto"/>
        <w:jc w:val="both"/>
        <w:rPr>
          <w:rFonts w:ascii="Times New Roman" w:hAnsi="Times New Roman" w:cs="Times New Roman"/>
          <w:sz w:val="24"/>
          <w:szCs w:val="24"/>
        </w:rPr>
      </w:pPr>
    </w:p>
    <w:p w14:paraId="20DE87F2" w14:textId="77777777" w:rsidR="006847B4" w:rsidRDefault="006847B4" w:rsidP="00921B38">
      <w:pPr>
        <w:spacing w:line="240" w:lineRule="auto"/>
        <w:jc w:val="both"/>
        <w:rPr>
          <w:rFonts w:ascii="Times New Roman" w:hAnsi="Times New Roman" w:cs="Times New Roman"/>
          <w:sz w:val="24"/>
          <w:szCs w:val="24"/>
        </w:rPr>
      </w:pPr>
    </w:p>
    <w:p w14:paraId="0475CFA0" w14:textId="77777777" w:rsidR="00F54386" w:rsidRDefault="00F54386" w:rsidP="004B0859">
      <w:pPr>
        <w:spacing w:line="240" w:lineRule="auto"/>
        <w:jc w:val="both"/>
        <w:rPr>
          <w:rFonts w:ascii="Times New Roman" w:hAnsi="Times New Roman" w:cs="Times New Roman"/>
          <w:b/>
          <w:bCs/>
          <w:sz w:val="24"/>
          <w:szCs w:val="24"/>
          <w:lang w:val="en-GB"/>
        </w:rPr>
      </w:pPr>
    </w:p>
    <w:p w14:paraId="7C326DE2" w14:textId="5A803B75" w:rsidR="00750148" w:rsidRPr="008D16A6" w:rsidRDefault="00750148" w:rsidP="004B0859">
      <w:pPr>
        <w:spacing w:line="240" w:lineRule="auto"/>
        <w:jc w:val="both"/>
        <w:rPr>
          <w:rFonts w:ascii="Times New Roman" w:hAnsi="Times New Roman" w:cs="Times New Roman"/>
          <w:b/>
          <w:bCs/>
          <w:sz w:val="24"/>
          <w:szCs w:val="24"/>
          <w:lang w:val="en-GB"/>
        </w:rPr>
      </w:pPr>
      <w:proofErr w:type="spellStart"/>
      <w:r w:rsidRPr="008D16A6">
        <w:rPr>
          <w:rFonts w:ascii="Times New Roman" w:hAnsi="Times New Roman" w:cs="Times New Roman"/>
          <w:b/>
          <w:bCs/>
          <w:sz w:val="24"/>
          <w:szCs w:val="24"/>
          <w:lang w:val="en-GB"/>
        </w:rPr>
        <w:lastRenderedPageBreak/>
        <w:t>Riferimenti</w:t>
      </w:r>
      <w:proofErr w:type="spellEnd"/>
      <w:r w:rsidRPr="008D16A6">
        <w:rPr>
          <w:rFonts w:ascii="Times New Roman" w:hAnsi="Times New Roman" w:cs="Times New Roman"/>
          <w:b/>
          <w:bCs/>
          <w:sz w:val="24"/>
          <w:szCs w:val="24"/>
          <w:lang w:val="en-GB"/>
        </w:rPr>
        <w:t xml:space="preserve"> </w:t>
      </w:r>
    </w:p>
    <w:p w14:paraId="1FF10792" w14:textId="77777777" w:rsidR="00F54386" w:rsidRPr="00F54386" w:rsidRDefault="00F54386" w:rsidP="00F54386">
      <w:pPr>
        <w:spacing w:line="240" w:lineRule="auto"/>
        <w:jc w:val="both"/>
        <w:rPr>
          <w:rFonts w:ascii="Times New Roman" w:hAnsi="Times New Roman" w:cs="Times New Roman"/>
          <w:sz w:val="24"/>
          <w:szCs w:val="24"/>
          <w:lang w:val="en-GB"/>
        </w:rPr>
      </w:pPr>
      <w:r w:rsidRPr="00F54386">
        <w:rPr>
          <w:rFonts w:ascii="Times New Roman" w:hAnsi="Times New Roman" w:cs="Times New Roman"/>
          <w:sz w:val="24"/>
          <w:szCs w:val="24"/>
          <w:lang w:val="en-GB"/>
        </w:rPr>
        <w:t xml:space="preserve">Acemoglu, D. (2006) </w:t>
      </w:r>
      <w:r w:rsidRPr="00F54386">
        <w:rPr>
          <w:rFonts w:ascii="Times New Roman" w:hAnsi="Times New Roman" w:cs="Times New Roman"/>
          <w:i/>
          <w:iCs/>
          <w:sz w:val="24"/>
          <w:szCs w:val="24"/>
          <w:lang w:val="en-GB"/>
        </w:rPr>
        <w:t>Modelling inefficient institutions</w:t>
      </w:r>
      <w:r w:rsidRPr="00F54386">
        <w:rPr>
          <w:rFonts w:ascii="Times New Roman" w:hAnsi="Times New Roman" w:cs="Times New Roman"/>
          <w:sz w:val="24"/>
          <w:szCs w:val="24"/>
          <w:lang w:val="en-GB"/>
        </w:rPr>
        <w:t>. NBER Working Paper No. 11940. Cambridge, MA: National Bureau of Economic Research.</w:t>
      </w:r>
    </w:p>
    <w:p w14:paraId="7CBC4281" w14:textId="77777777" w:rsidR="00F54386" w:rsidRPr="00F54386" w:rsidRDefault="00F54386" w:rsidP="00F54386">
      <w:pPr>
        <w:spacing w:line="240" w:lineRule="auto"/>
        <w:jc w:val="both"/>
        <w:rPr>
          <w:rFonts w:ascii="Times New Roman" w:hAnsi="Times New Roman" w:cs="Times New Roman"/>
          <w:sz w:val="24"/>
          <w:szCs w:val="24"/>
          <w:lang w:val="en-GB"/>
        </w:rPr>
      </w:pPr>
      <w:r w:rsidRPr="00F54386">
        <w:rPr>
          <w:rFonts w:ascii="Times New Roman" w:hAnsi="Times New Roman" w:cs="Times New Roman"/>
          <w:sz w:val="24"/>
          <w:szCs w:val="24"/>
          <w:lang w:val="en-GB"/>
        </w:rPr>
        <w:t xml:space="preserve">Acemoglu, D. and Robinson, J.A. (2006) ‘De facto political power and institutional persistence’, </w:t>
      </w:r>
      <w:r w:rsidRPr="00F54386">
        <w:rPr>
          <w:rFonts w:ascii="Times New Roman" w:hAnsi="Times New Roman" w:cs="Times New Roman"/>
          <w:i/>
          <w:iCs/>
          <w:sz w:val="24"/>
          <w:szCs w:val="24"/>
          <w:lang w:val="en-GB"/>
        </w:rPr>
        <w:t>American Economic Review</w:t>
      </w:r>
      <w:r w:rsidRPr="00F54386">
        <w:rPr>
          <w:rFonts w:ascii="Times New Roman" w:hAnsi="Times New Roman" w:cs="Times New Roman"/>
          <w:sz w:val="24"/>
          <w:szCs w:val="24"/>
          <w:lang w:val="en-GB"/>
        </w:rPr>
        <w:t>, 96(2), pp. 325–330.</w:t>
      </w:r>
    </w:p>
    <w:p w14:paraId="5D50403A" w14:textId="77777777" w:rsidR="00F54386" w:rsidRPr="00F54386" w:rsidRDefault="00F54386" w:rsidP="00F54386">
      <w:pPr>
        <w:spacing w:line="240" w:lineRule="auto"/>
        <w:jc w:val="both"/>
        <w:rPr>
          <w:rFonts w:ascii="Times New Roman" w:hAnsi="Times New Roman" w:cs="Times New Roman"/>
          <w:sz w:val="24"/>
          <w:szCs w:val="24"/>
          <w:lang w:val="en-GB"/>
        </w:rPr>
      </w:pPr>
      <w:r w:rsidRPr="00F54386">
        <w:rPr>
          <w:rFonts w:ascii="Times New Roman" w:hAnsi="Times New Roman" w:cs="Times New Roman"/>
          <w:sz w:val="24"/>
          <w:szCs w:val="24"/>
          <w:lang w:val="en-GB"/>
        </w:rPr>
        <w:t xml:space="preserve">An, Y., Garvin, M.J. and Hall, R.P. (2017) ‘Pathways to better project delivery: The link between capacity factors and urban infrastructure projects in India’, </w:t>
      </w:r>
      <w:r w:rsidRPr="00F54386">
        <w:rPr>
          <w:rFonts w:ascii="Times New Roman" w:hAnsi="Times New Roman" w:cs="Times New Roman"/>
          <w:i/>
          <w:iCs/>
          <w:sz w:val="24"/>
          <w:szCs w:val="24"/>
          <w:lang w:val="en-GB"/>
        </w:rPr>
        <w:t>World Development</w:t>
      </w:r>
      <w:r w:rsidRPr="00F54386">
        <w:rPr>
          <w:rFonts w:ascii="Times New Roman" w:hAnsi="Times New Roman" w:cs="Times New Roman"/>
          <w:sz w:val="24"/>
          <w:szCs w:val="24"/>
          <w:lang w:val="en-GB"/>
        </w:rPr>
        <w:t xml:space="preserve">, 94, pp. 393–405. </w:t>
      </w:r>
      <w:hyperlink r:id="rId9" w:tgtFrame="_new" w:history="1">
        <w:r w:rsidRPr="00F54386">
          <w:rPr>
            <w:rStyle w:val="Collegamentoipertestuale"/>
            <w:rFonts w:ascii="Times New Roman" w:hAnsi="Times New Roman" w:cs="Times New Roman"/>
            <w:sz w:val="24"/>
            <w:szCs w:val="24"/>
            <w:lang w:val="en-GB"/>
          </w:rPr>
          <w:t>https://doi.org/10.1016/j.worlddev.2017.02.004</w:t>
        </w:r>
      </w:hyperlink>
    </w:p>
    <w:p w14:paraId="6ABCEA87" w14:textId="77777777" w:rsidR="00F54386" w:rsidRPr="00F54386" w:rsidRDefault="00F54386" w:rsidP="00F54386">
      <w:pPr>
        <w:spacing w:line="240" w:lineRule="auto"/>
        <w:jc w:val="both"/>
        <w:rPr>
          <w:rFonts w:ascii="Times New Roman" w:hAnsi="Times New Roman" w:cs="Times New Roman"/>
          <w:sz w:val="24"/>
          <w:szCs w:val="24"/>
          <w:lang w:val="en-GB"/>
        </w:rPr>
      </w:pPr>
      <w:r w:rsidRPr="00F54386">
        <w:rPr>
          <w:rFonts w:ascii="Times New Roman" w:hAnsi="Times New Roman" w:cs="Times New Roman"/>
          <w:sz w:val="24"/>
          <w:szCs w:val="24"/>
          <w:lang w:val="en-GB"/>
        </w:rPr>
        <w:t xml:space="preserve">Armstrong, J. (2013) </w:t>
      </w:r>
      <w:r w:rsidRPr="00F54386">
        <w:rPr>
          <w:rFonts w:ascii="Times New Roman" w:hAnsi="Times New Roman" w:cs="Times New Roman"/>
          <w:i/>
          <w:iCs/>
          <w:sz w:val="24"/>
          <w:szCs w:val="24"/>
          <w:lang w:val="en-GB"/>
        </w:rPr>
        <w:t>Improving international capacity development</w:t>
      </w:r>
      <w:r w:rsidRPr="00F54386">
        <w:rPr>
          <w:rFonts w:ascii="Times New Roman" w:hAnsi="Times New Roman" w:cs="Times New Roman"/>
          <w:sz w:val="24"/>
          <w:szCs w:val="24"/>
          <w:lang w:val="en-GB"/>
        </w:rPr>
        <w:t xml:space="preserve">. London: Palgrave Macmillan. </w:t>
      </w:r>
      <w:hyperlink r:id="rId10" w:tgtFrame="_new" w:history="1">
        <w:r w:rsidRPr="00F54386">
          <w:rPr>
            <w:rStyle w:val="Collegamentoipertestuale"/>
            <w:rFonts w:ascii="Times New Roman" w:hAnsi="Times New Roman" w:cs="Times New Roman"/>
            <w:sz w:val="24"/>
            <w:szCs w:val="24"/>
            <w:lang w:val="en-GB"/>
          </w:rPr>
          <w:t>https://doi.org/10.1057/9781137310118</w:t>
        </w:r>
      </w:hyperlink>
    </w:p>
    <w:p w14:paraId="6C7E27BD" w14:textId="77777777" w:rsidR="00F54386" w:rsidRPr="00F54386" w:rsidRDefault="00F54386" w:rsidP="00F54386">
      <w:pPr>
        <w:spacing w:line="240" w:lineRule="auto"/>
        <w:jc w:val="both"/>
        <w:rPr>
          <w:rFonts w:ascii="Times New Roman" w:hAnsi="Times New Roman" w:cs="Times New Roman"/>
          <w:sz w:val="24"/>
          <w:szCs w:val="24"/>
          <w:lang w:val="en-GB"/>
        </w:rPr>
      </w:pPr>
      <w:r w:rsidRPr="00F54386">
        <w:rPr>
          <w:rFonts w:ascii="Times New Roman" w:hAnsi="Times New Roman" w:cs="Times New Roman"/>
          <w:sz w:val="24"/>
          <w:szCs w:val="24"/>
          <w:lang w:val="en-GB"/>
        </w:rPr>
        <w:t xml:space="preserve">Barca, F. (2009) </w:t>
      </w:r>
      <w:r w:rsidRPr="00F54386">
        <w:rPr>
          <w:rFonts w:ascii="Times New Roman" w:hAnsi="Times New Roman" w:cs="Times New Roman"/>
          <w:i/>
          <w:iCs/>
          <w:sz w:val="24"/>
          <w:szCs w:val="24"/>
          <w:lang w:val="en-GB"/>
        </w:rPr>
        <w:t>An agenda for a reformed cohesion policy: A place-based approach to meeting European Union challenges and expectations</w:t>
      </w:r>
      <w:r w:rsidRPr="00F54386">
        <w:rPr>
          <w:rFonts w:ascii="Times New Roman" w:hAnsi="Times New Roman" w:cs="Times New Roman"/>
          <w:sz w:val="24"/>
          <w:szCs w:val="24"/>
          <w:lang w:val="en-GB"/>
        </w:rPr>
        <w:t>. Independent Report prepared at the request of Danuta Hübner, Commissioner for Regional Policy.</w:t>
      </w:r>
    </w:p>
    <w:p w14:paraId="3EC770AD" w14:textId="77777777" w:rsidR="00F54386" w:rsidRPr="00F54386" w:rsidRDefault="00F54386" w:rsidP="00F54386">
      <w:pPr>
        <w:spacing w:line="240" w:lineRule="auto"/>
        <w:jc w:val="both"/>
        <w:rPr>
          <w:rFonts w:ascii="Times New Roman" w:hAnsi="Times New Roman" w:cs="Times New Roman"/>
          <w:sz w:val="24"/>
          <w:szCs w:val="24"/>
          <w:lang w:val="en-GB"/>
        </w:rPr>
      </w:pPr>
      <w:r w:rsidRPr="00F54386">
        <w:rPr>
          <w:rFonts w:ascii="Times New Roman" w:hAnsi="Times New Roman" w:cs="Times New Roman"/>
          <w:sz w:val="24"/>
          <w:szCs w:val="24"/>
          <w:lang w:val="en-GB"/>
        </w:rPr>
        <w:t xml:space="preserve">Bloch, C. (2011) </w:t>
      </w:r>
      <w:r w:rsidRPr="00F54386">
        <w:rPr>
          <w:rFonts w:ascii="Times New Roman" w:hAnsi="Times New Roman" w:cs="Times New Roman"/>
          <w:i/>
          <w:iCs/>
          <w:sz w:val="24"/>
          <w:szCs w:val="24"/>
          <w:lang w:val="en-GB"/>
        </w:rPr>
        <w:t>Measuring public innovation in the Nordic countries (MEPIN)</w:t>
      </w:r>
      <w:r w:rsidRPr="00F54386">
        <w:rPr>
          <w:rFonts w:ascii="Times New Roman" w:hAnsi="Times New Roman" w:cs="Times New Roman"/>
          <w:sz w:val="24"/>
          <w:szCs w:val="24"/>
          <w:lang w:val="en-GB"/>
        </w:rPr>
        <w:t>. Aarhus: Danish Centre for Studies in Research and Research Policy.</w:t>
      </w:r>
    </w:p>
    <w:p w14:paraId="043A6FCC" w14:textId="77777777" w:rsidR="00F54386" w:rsidRPr="00F54386" w:rsidRDefault="00F54386" w:rsidP="00F54386">
      <w:pPr>
        <w:spacing w:line="240" w:lineRule="auto"/>
        <w:jc w:val="both"/>
        <w:rPr>
          <w:rFonts w:ascii="Times New Roman" w:hAnsi="Times New Roman" w:cs="Times New Roman"/>
          <w:sz w:val="24"/>
          <w:szCs w:val="24"/>
          <w:lang w:val="en-GB"/>
        </w:rPr>
      </w:pPr>
      <w:r w:rsidRPr="00F54386">
        <w:rPr>
          <w:rFonts w:ascii="Times New Roman" w:hAnsi="Times New Roman" w:cs="Times New Roman"/>
          <w:sz w:val="24"/>
          <w:szCs w:val="24"/>
          <w:lang w:val="en-GB"/>
        </w:rPr>
        <w:t xml:space="preserve">Demir, F. (2022) </w:t>
      </w:r>
      <w:r w:rsidRPr="00F54386">
        <w:rPr>
          <w:rFonts w:ascii="Times New Roman" w:hAnsi="Times New Roman" w:cs="Times New Roman"/>
          <w:i/>
          <w:iCs/>
          <w:sz w:val="24"/>
          <w:szCs w:val="24"/>
          <w:lang w:val="en-GB"/>
        </w:rPr>
        <w:t>Innovation in the public sector</w:t>
      </w:r>
      <w:r w:rsidRPr="00F54386">
        <w:rPr>
          <w:rFonts w:ascii="Times New Roman" w:hAnsi="Times New Roman" w:cs="Times New Roman"/>
          <w:sz w:val="24"/>
          <w:szCs w:val="24"/>
          <w:lang w:val="en-GB"/>
        </w:rPr>
        <w:t xml:space="preserve">. </w:t>
      </w:r>
      <w:r w:rsidRPr="00F54386">
        <w:rPr>
          <w:rFonts w:ascii="Times New Roman" w:hAnsi="Times New Roman" w:cs="Times New Roman"/>
          <w:i/>
          <w:iCs/>
          <w:sz w:val="24"/>
          <w:szCs w:val="24"/>
          <w:lang w:val="en-GB"/>
        </w:rPr>
        <w:t>Public Administration and Information Technology</w:t>
      </w:r>
      <w:r w:rsidRPr="00F54386">
        <w:rPr>
          <w:rFonts w:ascii="Times New Roman" w:hAnsi="Times New Roman" w:cs="Times New Roman"/>
          <w:sz w:val="24"/>
          <w:szCs w:val="24"/>
          <w:lang w:val="en-GB"/>
        </w:rPr>
        <w:t>. Cham: Springer. ISBN 978-3-031-11331-4.</w:t>
      </w:r>
    </w:p>
    <w:p w14:paraId="50DF9B82" w14:textId="77777777" w:rsidR="00F54386" w:rsidRPr="00F54386" w:rsidRDefault="00F54386" w:rsidP="00F54386">
      <w:pPr>
        <w:spacing w:line="240" w:lineRule="auto"/>
        <w:jc w:val="both"/>
        <w:rPr>
          <w:rFonts w:ascii="Times New Roman" w:hAnsi="Times New Roman" w:cs="Times New Roman"/>
          <w:sz w:val="24"/>
          <w:szCs w:val="24"/>
          <w:lang w:val="en-GB"/>
        </w:rPr>
      </w:pPr>
      <w:r w:rsidRPr="00F54386">
        <w:rPr>
          <w:rFonts w:ascii="Times New Roman" w:hAnsi="Times New Roman" w:cs="Times New Roman"/>
          <w:sz w:val="24"/>
          <w:szCs w:val="24"/>
          <w:lang w:val="en-GB"/>
        </w:rPr>
        <w:t xml:space="preserve">De Vries, H., Bekkers, V. and </w:t>
      </w:r>
      <w:proofErr w:type="spellStart"/>
      <w:r w:rsidRPr="00F54386">
        <w:rPr>
          <w:rFonts w:ascii="Times New Roman" w:hAnsi="Times New Roman" w:cs="Times New Roman"/>
          <w:sz w:val="24"/>
          <w:szCs w:val="24"/>
          <w:lang w:val="en-GB"/>
        </w:rPr>
        <w:t>Tummers</w:t>
      </w:r>
      <w:proofErr w:type="spellEnd"/>
      <w:r w:rsidRPr="00F54386">
        <w:rPr>
          <w:rFonts w:ascii="Times New Roman" w:hAnsi="Times New Roman" w:cs="Times New Roman"/>
          <w:sz w:val="24"/>
          <w:szCs w:val="24"/>
          <w:lang w:val="en-GB"/>
        </w:rPr>
        <w:t xml:space="preserve">, L. (2016) ‘Innovation in the public sector: A systematic review and future research agenda’, </w:t>
      </w:r>
      <w:r w:rsidRPr="00F54386">
        <w:rPr>
          <w:rFonts w:ascii="Times New Roman" w:hAnsi="Times New Roman" w:cs="Times New Roman"/>
          <w:i/>
          <w:iCs/>
          <w:sz w:val="24"/>
          <w:szCs w:val="24"/>
          <w:lang w:val="en-GB"/>
        </w:rPr>
        <w:t>Public Administration</w:t>
      </w:r>
      <w:r w:rsidRPr="00F54386">
        <w:rPr>
          <w:rFonts w:ascii="Times New Roman" w:hAnsi="Times New Roman" w:cs="Times New Roman"/>
          <w:sz w:val="24"/>
          <w:szCs w:val="24"/>
          <w:lang w:val="en-GB"/>
        </w:rPr>
        <w:t xml:space="preserve">, 94(1), pp. 146–166. </w:t>
      </w:r>
      <w:hyperlink r:id="rId11" w:tgtFrame="_new" w:history="1">
        <w:r w:rsidRPr="00F54386">
          <w:rPr>
            <w:rStyle w:val="Collegamentoipertestuale"/>
            <w:rFonts w:ascii="Times New Roman" w:hAnsi="Times New Roman" w:cs="Times New Roman"/>
            <w:sz w:val="24"/>
            <w:szCs w:val="24"/>
            <w:lang w:val="en-GB"/>
          </w:rPr>
          <w:t>https://doi.org/10.1111/padm.12209</w:t>
        </w:r>
      </w:hyperlink>
    </w:p>
    <w:p w14:paraId="2D5D9F1F" w14:textId="77777777" w:rsidR="00F54386" w:rsidRPr="00F54386" w:rsidRDefault="00F54386" w:rsidP="00F54386">
      <w:pPr>
        <w:spacing w:line="240" w:lineRule="auto"/>
        <w:jc w:val="both"/>
        <w:rPr>
          <w:rFonts w:ascii="Times New Roman" w:hAnsi="Times New Roman" w:cs="Times New Roman"/>
          <w:sz w:val="24"/>
          <w:szCs w:val="24"/>
          <w:lang w:val="en-GB"/>
        </w:rPr>
      </w:pPr>
      <w:r w:rsidRPr="00F54386">
        <w:rPr>
          <w:rFonts w:ascii="Times New Roman" w:hAnsi="Times New Roman" w:cs="Times New Roman"/>
          <w:sz w:val="24"/>
          <w:szCs w:val="24"/>
          <w:lang w:val="en-GB"/>
        </w:rPr>
        <w:t xml:space="preserve">European Commission (2024a) </w:t>
      </w:r>
      <w:r w:rsidRPr="00F54386">
        <w:rPr>
          <w:rFonts w:ascii="Times New Roman" w:hAnsi="Times New Roman" w:cs="Times New Roman"/>
          <w:i/>
          <w:iCs/>
          <w:sz w:val="24"/>
          <w:szCs w:val="24"/>
          <w:lang w:val="en-GB"/>
        </w:rPr>
        <w:t>Ninth report on economic, social and territorial cohesion</w:t>
      </w:r>
      <w:r w:rsidRPr="00F54386">
        <w:rPr>
          <w:rFonts w:ascii="Times New Roman" w:hAnsi="Times New Roman" w:cs="Times New Roman"/>
          <w:sz w:val="24"/>
          <w:szCs w:val="24"/>
          <w:lang w:val="en-GB"/>
        </w:rPr>
        <w:t>. Luxembourg: Publications Office of the European Union.</w:t>
      </w:r>
    </w:p>
    <w:p w14:paraId="7BAE3A61" w14:textId="77777777" w:rsidR="00F54386" w:rsidRPr="00F54386" w:rsidRDefault="00F54386" w:rsidP="00F54386">
      <w:pPr>
        <w:spacing w:line="240" w:lineRule="auto"/>
        <w:jc w:val="both"/>
        <w:rPr>
          <w:rFonts w:ascii="Times New Roman" w:hAnsi="Times New Roman" w:cs="Times New Roman"/>
          <w:sz w:val="24"/>
          <w:szCs w:val="24"/>
          <w:lang w:val="en-GB"/>
        </w:rPr>
      </w:pPr>
      <w:r w:rsidRPr="00F54386">
        <w:rPr>
          <w:rFonts w:ascii="Times New Roman" w:hAnsi="Times New Roman" w:cs="Times New Roman"/>
          <w:sz w:val="24"/>
          <w:szCs w:val="24"/>
          <w:lang w:val="en-GB"/>
        </w:rPr>
        <w:t xml:space="preserve">European Commission (2024b) </w:t>
      </w:r>
      <w:r w:rsidRPr="00F54386">
        <w:rPr>
          <w:rFonts w:ascii="Times New Roman" w:hAnsi="Times New Roman" w:cs="Times New Roman"/>
          <w:i/>
          <w:iCs/>
          <w:sz w:val="24"/>
          <w:szCs w:val="24"/>
          <w:lang w:val="en-GB"/>
        </w:rPr>
        <w:t>Forging a sustainable future together: Cohesion for a competitive and inclusive Europe. Report of the high-level group on the future of cohesion policy</w:t>
      </w:r>
      <w:r w:rsidRPr="00F54386">
        <w:rPr>
          <w:rFonts w:ascii="Times New Roman" w:hAnsi="Times New Roman" w:cs="Times New Roman"/>
          <w:sz w:val="24"/>
          <w:szCs w:val="24"/>
          <w:lang w:val="en-GB"/>
        </w:rPr>
        <w:t>. February 2024.</w:t>
      </w:r>
    </w:p>
    <w:p w14:paraId="66029E70" w14:textId="77777777" w:rsidR="00F54386" w:rsidRPr="00F54386" w:rsidRDefault="00F54386" w:rsidP="00F54386">
      <w:pPr>
        <w:spacing w:line="240" w:lineRule="auto"/>
        <w:jc w:val="both"/>
        <w:rPr>
          <w:rFonts w:ascii="Times New Roman" w:hAnsi="Times New Roman" w:cs="Times New Roman"/>
          <w:sz w:val="24"/>
          <w:szCs w:val="24"/>
          <w:lang w:val="en-GB"/>
        </w:rPr>
      </w:pPr>
      <w:proofErr w:type="spellStart"/>
      <w:r w:rsidRPr="00F54386">
        <w:rPr>
          <w:rFonts w:ascii="Times New Roman" w:hAnsi="Times New Roman" w:cs="Times New Roman"/>
          <w:sz w:val="24"/>
          <w:szCs w:val="24"/>
          <w:lang w:val="en-GB"/>
        </w:rPr>
        <w:t>Farole</w:t>
      </w:r>
      <w:proofErr w:type="spellEnd"/>
      <w:r w:rsidRPr="00F54386">
        <w:rPr>
          <w:rFonts w:ascii="Times New Roman" w:hAnsi="Times New Roman" w:cs="Times New Roman"/>
          <w:sz w:val="24"/>
          <w:szCs w:val="24"/>
          <w:lang w:val="en-GB"/>
        </w:rPr>
        <w:t xml:space="preserve">, T., Rodríguez-Pose, A. and Storper, M. (2011) ‘Cohesion policy in the European Union: Growth, geography, institutions’, </w:t>
      </w:r>
      <w:r w:rsidRPr="00F54386">
        <w:rPr>
          <w:rFonts w:ascii="Times New Roman" w:hAnsi="Times New Roman" w:cs="Times New Roman"/>
          <w:i/>
          <w:iCs/>
          <w:sz w:val="24"/>
          <w:szCs w:val="24"/>
          <w:lang w:val="en-GB"/>
        </w:rPr>
        <w:t>JCMS: Journal of Common Market Studies</w:t>
      </w:r>
      <w:r w:rsidRPr="00F54386">
        <w:rPr>
          <w:rFonts w:ascii="Times New Roman" w:hAnsi="Times New Roman" w:cs="Times New Roman"/>
          <w:sz w:val="24"/>
          <w:szCs w:val="24"/>
          <w:lang w:val="en-GB"/>
        </w:rPr>
        <w:t>, 49(5), pp. 1089–1111. https://doi.org/10.1111/j.1468-5965.2011.02191.x</w:t>
      </w:r>
    </w:p>
    <w:p w14:paraId="0D850AA1" w14:textId="77777777" w:rsidR="00F54386" w:rsidRPr="00F54386" w:rsidRDefault="00F54386" w:rsidP="00F54386">
      <w:pPr>
        <w:spacing w:line="240" w:lineRule="auto"/>
        <w:jc w:val="both"/>
        <w:rPr>
          <w:rFonts w:ascii="Times New Roman" w:hAnsi="Times New Roman" w:cs="Times New Roman"/>
          <w:sz w:val="24"/>
          <w:szCs w:val="24"/>
          <w:lang w:val="en-GB"/>
        </w:rPr>
      </w:pPr>
      <w:r w:rsidRPr="00F54386">
        <w:rPr>
          <w:rFonts w:ascii="Times New Roman" w:hAnsi="Times New Roman" w:cs="Times New Roman"/>
          <w:sz w:val="24"/>
          <w:szCs w:val="24"/>
          <w:lang w:val="en-GB"/>
        </w:rPr>
        <w:t xml:space="preserve">Hartley, J. and Knell, L. (2022) </w:t>
      </w:r>
      <w:r w:rsidRPr="00F54386">
        <w:rPr>
          <w:rFonts w:ascii="Times New Roman" w:hAnsi="Times New Roman" w:cs="Times New Roman"/>
          <w:i/>
          <w:iCs/>
          <w:sz w:val="24"/>
          <w:szCs w:val="24"/>
          <w:lang w:val="en-GB"/>
        </w:rPr>
        <w:t>A systematic literature review on public innovation</w:t>
      </w:r>
      <w:r w:rsidRPr="00F54386">
        <w:rPr>
          <w:rFonts w:ascii="Times New Roman" w:hAnsi="Times New Roman" w:cs="Times New Roman"/>
          <w:sz w:val="24"/>
          <w:szCs w:val="24"/>
          <w:lang w:val="en-GB"/>
        </w:rPr>
        <w:t>. Centre for Policing Research and Learning, The Open University.</w:t>
      </w:r>
    </w:p>
    <w:p w14:paraId="43F57118" w14:textId="77777777" w:rsidR="00F54386" w:rsidRPr="00F54386" w:rsidRDefault="00F54386" w:rsidP="00F54386">
      <w:pPr>
        <w:spacing w:line="240" w:lineRule="auto"/>
        <w:jc w:val="both"/>
        <w:rPr>
          <w:rFonts w:ascii="Times New Roman" w:hAnsi="Times New Roman" w:cs="Times New Roman"/>
          <w:sz w:val="24"/>
          <w:szCs w:val="24"/>
          <w:lang w:val="en-GB"/>
        </w:rPr>
      </w:pPr>
      <w:r w:rsidRPr="00F54386">
        <w:rPr>
          <w:rFonts w:ascii="Times New Roman" w:hAnsi="Times New Roman" w:cs="Times New Roman"/>
          <w:sz w:val="24"/>
          <w:szCs w:val="24"/>
          <w:lang w:val="en-GB"/>
        </w:rPr>
        <w:t xml:space="preserve">ISO (2020) </w:t>
      </w:r>
      <w:r w:rsidRPr="00F54386">
        <w:rPr>
          <w:rFonts w:ascii="Times New Roman" w:hAnsi="Times New Roman" w:cs="Times New Roman"/>
          <w:i/>
          <w:iCs/>
          <w:sz w:val="24"/>
          <w:szCs w:val="24"/>
          <w:lang w:val="en-GB"/>
        </w:rPr>
        <w:t>Innovation management – Fundamentals and vocabulary (ISO 56000:2020)</w:t>
      </w:r>
      <w:r w:rsidRPr="00F54386">
        <w:rPr>
          <w:rFonts w:ascii="Times New Roman" w:hAnsi="Times New Roman" w:cs="Times New Roman"/>
          <w:sz w:val="24"/>
          <w:szCs w:val="24"/>
          <w:lang w:val="en-GB"/>
        </w:rPr>
        <w:t>. Geneva: ISO Copyright Office.</w:t>
      </w:r>
    </w:p>
    <w:p w14:paraId="3A007ECF" w14:textId="77777777" w:rsidR="00F54386" w:rsidRPr="00F54386" w:rsidRDefault="00F54386" w:rsidP="00F54386">
      <w:pPr>
        <w:spacing w:line="240" w:lineRule="auto"/>
        <w:jc w:val="both"/>
        <w:rPr>
          <w:rFonts w:ascii="Times New Roman" w:hAnsi="Times New Roman" w:cs="Times New Roman"/>
          <w:sz w:val="24"/>
          <w:szCs w:val="24"/>
          <w:lang w:val="en-GB"/>
        </w:rPr>
      </w:pPr>
      <w:r w:rsidRPr="00F54386">
        <w:rPr>
          <w:rFonts w:ascii="Times New Roman" w:hAnsi="Times New Roman" w:cs="Times New Roman"/>
          <w:sz w:val="24"/>
          <w:szCs w:val="24"/>
          <w:lang w:val="en-GB"/>
        </w:rPr>
        <w:t xml:space="preserve">Kacou, K.P., Ika, L.A. and Munro, L.T. (2022) ‘Fifty years of capacity building: Taking stock and moving research forward’, </w:t>
      </w:r>
      <w:r w:rsidRPr="00F54386">
        <w:rPr>
          <w:rFonts w:ascii="Times New Roman" w:hAnsi="Times New Roman" w:cs="Times New Roman"/>
          <w:i/>
          <w:iCs/>
          <w:sz w:val="24"/>
          <w:szCs w:val="24"/>
          <w:lang w:val="en-GB"/>
        </w:rPr>
        <w:t>Public Administration and Development</w:t>
      </w:r>
      <w:r w:rsidRPr="00F54386">
        <w:rPr>
          <w:rFonts w:ascii="Times New Roman" w:hAnsi="Times New Roman" w:cs="Times New Roman"/>
          <w:sz w:val="24"/>
          <w:szCs w:val="24"/>
          <w:lang w:val="en-GB"/>
        </w:rPr>
        <w:t xml:space="preserve">, 42(4), pp. 215–232. </w:t>
      </w:r>
      <w:hyperlink r:id="rId12" w:tgtFrame="_new" w:history="1">
        <w:r w:rsidRPr="00F54386">
          <w:rPr>
            <w:rStyle w:val="Collegamentoipertestuale"/>
            <w:rFonts w:ascii="Times New Roman" w:hAnsi="Times New Roman" w:cs="Times New Roman"/>
            <w:sz w:val="24"/>
            <w:szCs w:val="24"/>
            <w:lang w:val="en-GB"/>
          </w:rPr>
          <w:t>https://doi.org/10.1002/pad.1993</w:t>
        </w:r>
      </w:hyperlink>
    </w:p>
    <w:p w14:paraId="400DA3EA" w14:textId="77777777" w:rsidR="00F54386" w:rsidRPr="00F54386" w:rsidRDefault="00F54386" w:rsidP="00F54386">
      <w:pPr>
        <w:spacing w:line="240" w:lineRule="auto"/>
        <w:jc w:val="both"/>
        <w:rPr>
          <w:rFonts w:ascii="Times New Roman" w:hAnsi="Times New Roman" w:cs="Times New Roman"/>
          <w:sz w:val="24"/>
          <w:szCs w:val="24"/>
          <w:lang w:val="en-GB"/>
        </w:rPr>
      </w:pPr>
      <w:r w:rsidRPr="00F54386">
        <w:rPr>
          <w:rFonts w:ascii="Times New Roman" w:hAnsi="Times New Roman" w:cs="Times New Roman"/>
          <w:sz w:val="24"/>
          <w:szCs w:val="24"/>
          <w:lang w:val="en-GB"/>
        </w:rPr>
        <w:t xml:space="preserve">Milanovic, B. (2016) </w:t>
      </w:r>
      <w:r w:rsidRPr="00F54386">
        <w:rPr>
          <w:rFonts w:ascii="Times New Roman" w:hAnsi="Times New Roman" w:cs="Times New Roman"/>
          <w:i/>
          <w:iCs/>
          <w:sz w:val="24"/>
          <w:szCs w:val="24"/>
          <w:lang w:val="en-GB"/>
        </w:rPr>
        <w:t>Global inequality: A new approach for the age of globalization</w:t>
      </w:r>
      <w:r w:rsidRPr="00F54386">
        <w:rPr>
          <w:rFonts w:ascii="Times New Roman" w:hAnsi="Times New Roman" w:cs="Times New Roman"/>
          <w:sz w:val="24"/>
          <w:szCs w:val="24"/>
          <w:lang w:val="en-GB"/>
        </w:rPr>
        <w:t xml:space="preserve">. Cambridge, MA: Harvard University Press. </w:t>
      </w:r>
      <w:hyperlink r:id="rId13" w:tgtFrame="_new" w:history="1">
        <w:r w:rsidRPr="00F54386">
          <w:rPr>
            <w:rStyle w:val="Collegamentoipertestuale"/>
            <w:rFonts w:ascii="Times New Roman" w:hAnsi="Times New Roman" w:cs="Times New Roman"/>
            <w:sz w:val="24"/>
            <w:szCs w:val="24"/>
            <w:lang w:val="en-GB"/>
          </w:rPr>
          <w:t>https://doi.org/10.2307/j.ctvjghwk4</w:t>
        </w:r>
      </w:hyperlink>
    </w:p>
    <w:p w14:paraId="6656243E" w14:textId="77777777" w:rsidR="00F54386" w:rsidRPr="00F54386" w:rsidRDefault="00F54386" w:rsidP="00F54386">
      <w:pPr>
        <w:spacing w:line="240" w:lineRule="auto"/>
        <w:jc w:val="both"/>
        <w:rPr>
          <w:rFonts w:ascii="Times New Roman" w:hAnsi="Times New Roman" w:cs="Times New Roman"/>
          <w:sz w:val="24"/>
          <w:szCs w:val="24"/>
          <w:lang w:val="en-GB"/>
        </w:rPr>
      </w:pPr>
      <w:r w:rsidRPr="00F54386">
        <w:rPr>
          <w:rFonts w:ascii="Times New Roman" w:hAnsi="Times New Roman" w:cs="Times New Roman"/>
          <w:sz w:val="24"/>
          <w:szCs w:val="24"/>
          <w:lang w:val="en-GB"/>
        </w:rPr>
        <w:t xml:space="preserve">Molle, W. (2007) </w:t>
      </w:r>
      <w:r w:rsidRPr="00F54386">
        <w:rPr>
          <w:rFonts w:ascii="Times New Roman" w:hAnsi="Times New Roman" w:cs="Times New Roman"/>
          <w:i/>
          <w:iCs/>
          <w:sz w:val="24"/>
          <w:szCs w:val="24"/>
          <w:lang w:val="en-GB"/>
        </w:rPr>
        <w:t>European cohesion policy</w:t>
      </w:r>
      <w:r w:rsidRPr="00F54386">
        <w:rPr>
          <w:rFonts w:ascii="Times New Roman" w:hAnsi="Times New Roman" w:cs="Times New Roman"/>
          <w:sz w:val="24"/>
          <w:szCs w:val="24"/>
          <w:lang w:val="en-GB"/>
        </w:rPr>
        <w:t>. London: Routledge.</w:t>
      </w:r>
    </w:p>
    <w:p w14:paraId="11B94F5E" w14:textId="77777777" w:rsidR="00F54386" w:rsidRPr="00F54386" w:rsidRDefault="00F54386" w:rsidP="00F54386">
      <w:pPr>
        <w:spacing w:line="240" w:lineRule="auto"/>
        <w:jc w:val="both"/>
        <w:rPr>
          <w:rFonts w:ascii="Times New Roman" w:hAnsi="Times New Roman" w:cs="Times New Roman"/>
          <w:sz w:val="24"/>
          <w:szCs w:val="24"/>
        </w:rPr>
      </w:pPr>
      <w:r w:rsidRPr="00F54386">
        <w:rPr>
          <w:rFonts w:ascii="Times New Roman" w:hAnsi="Times New Roman" w:cs="Times New Roman"/>
          <w:sz w:val="24"/>
          <w:szCs w:val="24"/>
          <w:lang w:val="en-GB"/>
        </w:rPr>
        <w:t xml:space="preserve">Mu, R. and Wang, H. (2020) ‘A systematic literature review of open innovation in the public sector: Comparing barriers and governance strategies of digital and non-digital </w:t>
      </w:r>
      <w:r w:rsidRPr="00F54386">
        <w:rPr>
          <w:rFonts w:ascii="Times New Roman" w:hAnsi="Times New Roman" w:cs="Times New Roman"/>
          <w:sz w:val="24"/>
          <w:szCs w:val="24"/>
          <w:lang w:val="en-GB"/>
        </w:rPr>
        <w:lastRenderedPageBreak/>
        <w:t xml:space="preserve">open innovation’, </w:t>
      </w:r>
      <w:r w:rsidRPr="00F54386">
        <w:rPr>
          <w:rFonts w:ascii="Times New Roman" w:hAnsi="Times New Roman" w:cs="Times New Roman"/>
          <w:i/>
          <w:iCs/>
          <w:sz w:val="24"/>
          <w:szCs w:val="24"/>
          <w:lang w:val="en-GB"/>
        </w:rPr>
        <w:t>Public Management Review</w:t>
      </w:r>
      <w:r w:rsidRPr="00F54386">
        <w:rPr>
          <w:rFonts w:ascii="Times New Roman" w:hAnsi="Times New Roman" w:cs="Times New Roman"/>
          <w:sz w:val="24"/>
          <w:szCs w:val="24"/>
          <w:lang w:val="en-GB"/>
        </w:rPr>
        <w:t xml:space="preserve">, 24(4), pp. 489–511. </w:t>
      </w:r>
      <w:hyperlink r:id="rId14" w:tgtFrame="_new" w:history="1">
        <w:r w:rsidRPr="00F54386">
          <w:rPr>
            <w:rStyle w:val="Collegamentoipertestuale"/>
            <w:rFonts w:ascii="Times New Roman" w:hAnsi="Times New Roman" w:cs="Times New Roman"/>
            <w:sz w:val="24"/>
            <w:szCs w:val="24"/>
          </w:rPr>
          <w:t>https://doi.org/10.1080/14719037.2020.1838787</w:t>
        </w:r>
      </w:hyperlink>
    </w:p>
    <w:p w14:paraId="0D2691C2" w14:textId="77777777" w:rsidR="00F54386" w:rsidRPr="00F54386" w:rsidRDefault="00F54386" w:rsidP="00F54386">
      <w:pPr>
        <w:spacing w:line="240" w:lineRule="auto"/>
        <w:jc w:val="both"/>
        <w:rPr>
          <w:rFonts w:ascii="Times New Roman" w:hAnsi="Times New Roman" w:cs="Times New Roman"/>
          <w:sz w:val="24"/>
          <w:szCs w:val="24"/>
        </w:rPr>
      </w:pPr>
      <w:r w:rsidRPr="00F54386">
        <w:rPr>
          <w:rFonts w:ascii="Times New Roman" w:hAnsi="Times New Roman" w:cs="Times New Roman"/>
          <w:sz w:val="24"/>
          <w:szCs w:val="24"/>
        </w:rPr>
        <w:t>Programma Nazionale Capacità per la Coesione (PN CAPCOE) (2021–2027).</w:t>
      </w:r>
    </w:p>
    <w:p w14:paraId="1BB27354" w14:textId="77777777" w:rsidR="00F54386" w:rsidRPr="00F54386" w:rsidRDefault="00F54386" w:rsidP="00F54386">
      <w:pPr>
        <w:spacing w:line="240" w:lineRule="auto"/>
        <w:jc w:val="both"/>
        <w:rPr>
          <w:rFonts w:ascii="Times New Roman" w:hAnsi="Times New Roman" w:cs="Times New Roman"/>
          <w:sz w:val="24"/>
          <w:szCs w:val="24"/>
        </w:rPr>
      </w:pPr>
      <w:r w:rsidRPr="00F54386">
        <w:rPr>
          <w:rFonts w:ascii="Times New Roman" w:hAnsi="Times New Roman" w:cs="Times New Roman"/>
          <w:sz w:val="24"/>
          <w:szCs w:val="24"/>
          <w:lang w:val="en-GB"/>
        </w:rPr>
        <w:t xml:space="preserve">Satz, D. and White, S. (2024) ‘What is wrong with inequality?’, </w:t>
      </w:r>
      <w:r w:rsidRPr="00F54386">
        <w:rPr>
          <w:rFonts w:ascii="Times New Roman" w:hAnsi="Times New Roman" w:cs="Times New Roman"/>
          <w:i/>
          <w:iCs/>
          <w:sz w:val="24"/>
          <w:szCs w:val="24"/>
          <w:lang w:val="en-GB"/>
        </w:rPr>
        <w:t>Oxford Open Economics</w:t>
      </w:r>
      <w:r w:rsidRPr="00F54386">
        <w:rPr>
          <w:rFonts w:ascii="Times New Roman" w:hAnsi="Times New Roman" w:cs="Times New Roman"/>
          <w:sz w:val="24"/>
          <w:szCs w:val="24"/>
          <w:lang w:val="en-GB"/>
        </w:rPr>
        <w:t xml:space="preserve">, 3(Supplement_1), pp. i4–i17. </w:t>
      </w:r>
      <w:hyperlink r:id="rId15" w:tgtFrame="_new" w:history="1">
        <w:r w:rsidRPr="00F54386">
          <w:rPr>
            <w:rStyle w:val="Collegamentoipertestuale"/>
            <w:rFonts w:ascii="Times New Roman" w:hAnsi="Times New Roman" w:cs="Times New Roman"/>
            <w:sz w:val="24"/>
            <w:szCs w:val="24"/>
          </w:rPr>
          <w:t>https://doi.org/10.1093/ooec/odad040</w:t>
        </w:r>
      </w:hyperlink>
    </w:p>
    <w:p w14:paraId="27FF2BAB" w14:textId="77777777" w:rsidR="00F54386" w:rsidRPr="00F54386" w:rsidRDefault="00F54386" w:rsidP="00F54386">
      <w:pPr>
        <w:spacing w:line="240" w:lineRule="auto"/>
        <w:jc w:val="both"/>
        <w:rPr>
          <w:rFonts w:ascii="Times New Roman" w:hAnsi="Times New Roman" w:cs="Times New Roman"/>
          <w:sz w:val="24"/>
          <w:szCs w:val="24"/>
          <w:lang w:val="en-GB"/>
        </w:rPr>
      </w:pPr>
      <w:r w:rsidRPr="00F54386">
        <w:rPr>
          <w:rFonts w:ascii="Times New Roman" w:hAnsi="Times New Roman" w:cs="Times New Roman"/>
          <w:sz w:val="24"/>
          <w:szCs w:val="24"/>
        </w:rPr>
        <w:t xml:space="preserve">Viesti, G. and Prota, F. (2008) </w:t>
      </w:r>
      <w:r w:rsidRPr="00F54386">
        <w:rPr>
          <w:rFonts w:ascii="Times New Roman" w:hAnsi="Times New Roman" w:cs="Times New Roman"/>
          <w:i/>
          <w:iCs/>
          <w:sz w:val="24"/>
          <w:szCs w:val="24"/>
        </w:rPr>
        <w:t>Le nuove politiche regionali dell’Unione Europea</w:t>
      </w:r>
      <w:r w:rsidRPr="00F54386">
        <w:rPr>
          <w:rFonts w:ascii="Times New Roman" w:hAnsi="Times New Roman" w:cs="Times New Roman"/>
          <w:sz w:val="24"/>
          <w:szCs w:val="24"/>
        </w:rPr>
        <w:t xml:space="preserve">. </w:t>
      </w:r>
      <w:r w:rsidRPr="00F54386">
        <w:rPr>
          <w:rFonts w:ascii="Times New Roman" w:hAnsi="Times New Roman" w:cs="Times New Roman"/>
          <w:sz w:val="24"/>
          <w:szCs w:val="24"/>
          <w:lang w:val="en-GB"/>
        </w:rPr>
        <w:t>Bologna: Il Mulino.</w:t>
      </w:r>
    </w:p>
    <w:p w14:paraId="033B03E9" w14:textId="77777777" w:rsidR="00F54386" w:rsidRPr="00F54386" w:rsidRDefault="00F54386" w:rsidP="00F54386">
      <w:pPr>
        <w:spacing w:line="240" w:lineRule="auto"/>
        <w:jc w:val="both"/>
        <w:rPr>
          <w:rFonts w:ascii="Times New Roman" w:hAnsi="Times New Roman" w:cs="Times New Roman"/>
          <w:sz w:val="24"/>
          <w:szCs w:val="24"/>
        </w:rPr>
      </w:pPr>
      <w:r w:rsidRPr="00F54386">
        <w:rPr>
          <w:rFonts w:ascii="Times New Roman" w:hAnsi="Times New Roman" w:cs="Times New Roman"/>
          <w:sz w:val="24"/>
          <w:szCs w:val="24"/>
          <w:lang w:val="en-GB"/>
        </w:rPr>
        <w:t xml:space="preserve">World Bank (2009) </w:t>
      </w:r>
      <w:r w:rsidRPr="00F54386">
        <w:rPr>
          <w:rFonts w:ascii="Times New Roman" w:hAnsi="Times New Roman" w:cs="Times New Roman"/>
          <w:i/>
          <w:iCs/>
          <w:sz w:val="24"/>
          <w:szCs w:val="24"/>
          <w:lang w:val="en-GB"/>
        </w:rPr>
        <w:t>The capacity development results framework: A strategic and results-oriented approach to learning for capacity development</w:t>
      </w:r>
      <w:r w:rsidRPr="00F54386">
        <w:rPr>
          <w:rFonts w:ascii="Times New Roman" w:hAnsi="Times New Roman" w:cs="Times New Roman"/>
          <w:sz w:val="24"/>
          <w:szCs w:val="24"/>
          <w:lang w:val="en-GB"/>
        </w:rPr>
        <w:t xml:space="preserve">. </w:t>
      </w:r>
      <w:r w:rsidRPr="00F54386">
        <w:rPr>
          <w:rFonts w:ascii="Times New Roman" w:hAnsi="Times New Roman" w:cs="Times New Roman"/>
          <w:sz w:val="24"/>
          <w:szCs w:val="24"/>
        </w:rPr>
        <w:t>Washington, DC: The World Bank Institute.</w:t>
      </w:r>
    </w:p>
    <w:p w14:paraId="75E2A62E" w14:textId="46B16EB6" w:rsidR="00EF071D" w:rsidRPr="008D16A6" w:rsidRDefault="00EF071D" w:rsidP="00F54386">
      <w:pPr>
        <w:spacing w:line="240" w:lineRule="auto"/>
        <w:jc w:val="both"/>
        <w:rPr>
          <w:rFonts w:ascii="Times New Roman" w:hAnsi="Times New Roman" w:cs="Times New Roman"/>
          <w:sz w:val="24"/>
          <w:szCs w:val="24"/>
          <w:lang w:val="en-GB"/>
        </w:rPr>
      </w:pPr>
    </w:p>
    <w:sectPr w:rsidR="00EF071D" w:rsidRPr="008D16A6" w:rsidSect="006847B4">
      <w:pgSz w:w="11906" w:h="16838"/>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26F95D" w14:textId="77777777" w:rsidR="00B13D64" w:rsidRDefault="00B13D64" w:rsidP="00587342">
      <w:pPr>
        <w:spacing w:after="0" w:line="240" w:lineRule="auto"/>
      </w:pPr>
      <w:r>
        <w:separator/>
      </w:r>
    </w:p>
  </w:endnote>
  <w:endnote w:type="continuationSeparator" w:id="0">
    <w:p w14:paraId="58CD3C20" w14:textId="77777777" w:rsidR="00B13D64" w:rsidRDefault="00B13D64" w:rsidP="00587342">
      <w:pPr>
        <w:spacing w:after="0" w:line="240" w:lineRule="auto"/>
      </w:pPr>
      <w:r>
        <w:continuationSeparator/>
      </w:r>
    </w:p>
  </w:endnote>
  <w:endnote w:id="1">
    <w:p w14:paraId="543811D4" w14:textId="1705310B" w:rsidR="00F54386" w:rsidRPr="00F54386" w:rsidRDefault="00F54386" w:rsidP="0086192B">
      <w:pPr>
        <w:pStyle w:val="Testonotadichiusura"/>
        <w:jc w:val="both"/>
        <w:rPr>
          <w:rFonts w:ascii="Times New Roman" w:hAnsi="Times New Roman" w:cs="Times New Roman"/>
          <w:b/>
          <w:bCs/>
        </w:rPr>
      </w:pPr>
      <w:r w:rsidRPr="00F54386">
        <w:rPr>
          <w:rFonts w:ascii="Times New Roman" w:hAnsi="Times New Roman" w:cs="Times New Roman"/>
          <w:b/>
          <w:bCs/>
        </w:rPr>
        <w:t xml:space="preserve">Note di chiusura: </w:t>
      </w:r>
    </w:p>
    <w:p w14:paraId="07B7A28A" w14:textId="77777777" w:rsidR="00F54386" w:rsidRDefault="00F54386" w:rsidP="0086192B">
      <w:pPr>
        <w:pStyle w:val="Testonotadichiusura"/>
        <w:jc w:val="both"/>
        <w:rPr>
          <w:rFonts w:ascii="Times New Roman" w:hAnsi="Times New Roman" w:cs="Times New Roman"/>
        </w:rPr>
      </w:pPr>
    </w:p>
    <w:p w14:paraId="6F2292D6" w14:textId="323C73ED" w:rsidR="00F54386" w:rsidRPr="008D16A6" w:rsidRDefault="00F54386" w:rsidP="0086192B">
      <w:pPr>
        <w:pStyle w:val="Testonotadichiusura"/>
        <w:jc w:val="both"/>
        <w:rPr>
          <w:rFonts w:ascii="Times New Roman" w:hAnsi="Times New Roman" w:cs="Times New Roman"/>
        </w:rPr>
      </w:pPr>
      <w:r w:rsidRPr="008D16A6">
        <w:rPr>
          <w:rStyle w:val="Rimandonotadichiusura"/>
          <w:rFonts w:ascii="Times New Roman" w:hAnsi="Times New Roman" w:cs="Times New Roman"/>
        </w:rPr>
        <w:endnoteRef/>
      </w:r>
      <w:r w:rsidRPr="008D16A6">
        <w:rPr>
          <w:rFonts w:ascii="Times New Roman" w:hAnsi="Times New Roman" w:cs="Times New Roman"/>
        </w:rPr>
        <w:t xml:space="preserve"> Per maggiori informazioni sul perché la disuguaglianza è sbagliata e crea diversi problemi si veda Milanovic (2016) e </w:t>
      </w:r>
      <w:proofErr w:type="spellStart"/>
      <w:r w:rsidRPr="008D16A6">
        <w:rPr>
          <w:rFonts w:ascii="Times New Roman" w:hAnsi="Times New Roman" w:cs="Times New Roman"/>
        </w:rPr>
        <w:t>Satz</w:t>
      </w:r>
      <w:proofErr w:type="spellEnd"/>
      <w:r w:rsidRPr="008D16A6">
        <w:rPr>
          <w:rFonts w:ascii="Times New Roman" w:hAnsi="Times New Roman" w:cs="Times New Roman"/>
        </w:rPr>
        <w:t xml:space="preserve"> e White (2024)</w:t>
      </w:r>
      <w:r>
        <w:rPr>
          <w:rFonts w:ascii="Times New Roman" w:hAnsi="Times New Roman" w:cs="Times New Roman"/>
        </w:rPr>
        <w:t>.</w:t>
      </w:r>
      <w:r w:rsidRPr="008D16A6">
        <w:rPr>
          <w:rFonts w:ascii="Times New Roman" w:hAnsi="Times New Roman" w:cs="Times New Roman"/>
        </w:rPr>
        <w:t xml:space="preserve"> </w:t>
      </w:r>
    </w:p>
  </w:endnote>
  <w:endnote w:id="2">
    <w:p w14:paraId="2FFA3A2E" w14:textId="02A1943A" w:rsidR="00F54386" w:rsidRPr="008373D5" w:rsidRDefault="00F54386" w:rsidP="008373D5">
      <w:pPr>
        <w:pStyle w:val="Testonotadichiusura"/>
        <w:jc w:val="both"/>
        <w:rPr>
          <w:rFonts w:ascii="Times New Roman" w:hAnsi="Times New Roman" w:cs="Times New Roman"/>
        </w:rPr>
      </w:pPr>
      <w:r w:rsidRPr="008373D5">
        <w:rPr>
          <w:rStyle w:val="Rimandonotadichiusura"/>
          <w:rFonts w:ascii="Times New Roman" w:hAnsi="Times New Roman" w:cs="Times New Roman"/>
        </w:rPr>
        <w:endnoteRef/>
      </w:r>
      <w:r w:rsidRPr="008373D5">
        <w:rPr>
          <w:rFonts w:ascii="Times New Roman" w:hAnsi="Times New Roman" w:cs="Times New Roman"/>
        </w:rPr>
        <w:t xml:space="preserve"> FESR: Fondo europeo di sviluppo regionale; FSE+: Fondo sociale europeo Plus.</w:t>
      </w:r>
    </w:p>
  </w:endnote>
  <w:endnote w:id="3">
    <w:p w14:paraId="67DD1DA4" w14:textId="1D581C13" w:rsidR="00F54386" w:rsidRPr="008373D5" w:rsidRDefault="00F54386" w:rsidP="008373D5">
      <w:pPr>
        <w:pStyle w:val="Testonotadichiusura"/>
        <w:jc w:val="both"/>
        <w:rPr>
          <w:rFonts w:ascii="Times New Roman" w:hAnsi="Times New Roman" w:cs="Times New Roman"/>
        </w:rPr>
      </w:pPr>
      <w:r w:rsidRPr="008373D5">
        <w:rPr>
          <w:rStyle w:val="Rimandonotadichiusura"/>
          <w:rFonts w:ascii="Times New Roman" w:hAnsi="Times New Roman" w:cs="Times New Roman"/>
        </w:rPr>
        <w:endnoteRef/>
      </w:r>
      <w:r w:rsidRPr="008373D5">
        <w:rPr>
          <w:rFonts w:ascii="Times New Roman" w:hAnsi="Times New Roman" w:cs="Times New Roman"/>
        </w:rPr>
        <w:t xml:space="preserve"> JTF: Just </w:t>
      </w:r>
      <w:proofErr w:type="spellStart"/>
      <w:r w:rsidRPr="008373D5">
        <w:rPr>
          <w:rFonts w:ascii="Times New Roman" w:hAnsi="Times New Roman" w:cs="Times New Roman"/>
        </w:rPr>
        <w:t>Transition</w:t>
      </w:r>
      <w:proofErr w:type="spellEnd"/>
      <w:r w:rsidRPr="008373D5">
        <w:rPr>
          <w:rFonts w:ascii="Times New Roman" w:hAnsi="Times New Roman" w:cs="Times New Roman"/>
        </w:rPr>
        <w:t xml:space="preserve"> Fund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415EA" w14:textId="77777777" w:rsidR="00B13D64" w:rsidRDefault="00B13D64" w:rsidP="00587342">
      <w:pPr>
        <w:spacing w:after="0" w:line="240" w:lineRule="auto"/>
      </w:pPr>
      <w:r>
        <w:separator/>
      </w:r>
    </w:p>
  </w:footnote>
  <w:footnote w:type="continuationSeparator" w:id="0">
    <w:p w14:paraId="7EFF9A79" w14:textId="77777777" w:rsidR="00B13D64" w:rsidRDefault="00B13D64" w:rsidP="0058734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21E01"/>
    <w:multiLevelType w:val="multilevel"/>
    <w:tmpl w:val="ABEC13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6963BF0"/>
    <w:multiLevelType w:val="hybridMultilevel"/>
    <w:tmpl w:val="2E082DE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DF85B56"/>
    <w:multiLevelType w:val="hybridMultilevel"/>
    <w:tmpl w:val="2E082DE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2494692C"/>
    <w:multiLevelType w:val="multilevel"/>
    <w:tmpl w:val="0504C7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6C45A77"/>
    <w:multiLevelType w:val="multilevel"/>
    <w:tmpl w:val="B232BD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D2B672B"/>
    <w:multiLevelType w:val="multilevel"/>
    <w:tmpl w:val="4C7C88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2BF6DFC"/>
    <w:multiLevelType w:val="multilevel"/>
    <w:tmpl w:val="406CF5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C6F7807"/>
    <w:multiLevelType w:val="multilevel"/>
    <w:tmpl w:val="C7CC7A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AE55785"/>
    <w:multiLevelType w:val="hybridMultilevel"/>
    <w:tmpl w:val="5B08A896"/>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66D12EEA"/>
    <w:multiLevelType w:val="multilevel"/>
    <w:tmpl w:val="E7B6CF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F6B28B9"/>
    <w:multiLevelType w:val="multilevel"/>
    <w:tmpl w:val="E23A67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FB72183"/>
    <w:multiLevelType w:val="multilevel"/>
    <w:tmpl w:val="AFE6AF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3F12B25"/>
    <w:multiLevelType w:val="multilevel"/>
    <w:tmpl w:val="D71851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B3E576C"/>
    <w:multiLevelType w:val="multilevel"/>
    <w:tmpl w:val="33E2F4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D5E4B06"/>
    <w:multiLevelType w:val="multilevel"/>
    <w:tmpl w:val="EF3A39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8887235">
    <w:abstractNumId w:val="8"/>
  </w:num>
  <w:num w:numId="2" w16cid:durableId="540172323">
    <w:abstractNumId w:val="9"/>
  </w:num>
  <w:num w:numId="3" w16cid:durableId="1981835765">
    <w:abstractNumId w:val="10"/>
  </w:num>
  <w:num w:numId="4" w16cid:durableId="24645189">
    <w:abstractNumId w:val="0"/>
  </w:num>
  <w:num w:numId="5" w16cid:durableId="1260287116">
    <w:abstractNumId w:val="4"/>
  </w:num>
  <w:num w:numId="6" w16cid:durableId="652565600">
    <w:abstractNumId w:val="6"/>
  </w:num>
  <w:num w:numId="7" w16cid:durableId="750855362">
    <w:abstractNumId w:val="7"/>
  </w:num>
  <w:num w:numId="8" w16cid:durableId="2069527157">
    <w:abstractNumId w:val="14"/>
  </w:num>
  <w:num w:numId="9" w16cid:durableId="1638804048">
    <w:abstractNumId w:val="5"/>
  </w:num>
  <w:num w:numId="10" w16cid:durableId="1394695297">
    <w:abstractNumId w:val="11"/>
  </w:num>
  <w:num w:numId="11" w16cid:durableId="214510467">
    <w:abstractNumId w:val="13"/>
  </w:num>
  <w:num w:numId="12" w16cid:durableId="614486261">
    <w:abstractNumId w:val="1"/>
  </w:num>
  <w:num w:numId="13" w16cid:durableId="796023063">
    <w:abstractNumId w:val="3"/>
  </w:num>
  <w:num w:numId="14" w16cid:durableId="1486388439">
    <w:abstractNumId w:val="12"/>
  </w:num>
  <w:num w:numId="15" w16cid:durableId="83849949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046D"/>
    <w:rsid w:val="00000152"/>
    <w:rsid w:val="00012237"/>
    <w:rsid w:val="0005795B"/>
    <w:rsid w:val="00075B07"/>
    <w:rsid w:val="00082DE3"/>
    <w:rsid w:val="000A2305"/>
    <w:rsid w:val="000A4AA5"/>
    <w:rsid w:val="000B727F"/>
    <w:rsid w:val="000F0266"/>
    <w:rsid w:val="000F1B70"/>
    <w:rsid w:val="00125050"/>
    <w:rsid w:val="0012750E"/>
    <w:rsid w:val="00133BB1"/>
    <w:rsid w:val="001612C1"/>
    <w:rsid w:val="00177869"/>
    <w:rsid w:val="001A5DC1"/>
    <w:rsid w:val="001B0C96"/>
    <w:rsid w:val="001B343D"/>
    <w:rsid w:val="001C11A4"/>
    <w:rsid w:val="001E4311"/>
    <w:rsid w:val="0025240D"/>
    <w:rsid w:val="002770A9"/>
    <w:rsid w:val="002832DF"/>
    <w:rsid w:val="002A05EC"/>
    <w:rsid w:val="002A6312"/>
    <w:rsid w:val="00304115"/>
    <w:rsid w:val="00345527"/>
    <w:rsid w:val="00345ADA"/>
    <w:rsid w:val="00373E66"/>
    <w:rsid w:val="00376D83"/>
    <w:rsid w:val="0039646E"/>
    <w:rsid w:val="003A2DB4"/>
    <w:rsid w:val="003B466F"/>
    <w:rsid w:val="003B5386"/>
    <w:rsid w:val="003C641A"/>
    <w:rsid w:val="003F3AFD"/>
    <w:rsid w:val="003F5C2B"/>
    <w:rsid w:val="004113D0"/>
    <w:rsid w:val="0041425E"/>
    <w:rsid w:val="00422253"/>
    <w:rsid w:val="00425BC2"/>
    <w:rsid w:val="00427CD8"/>
    <w:rsid w:val="0043000E"/>
    <w:rsid w:val="00441094"/>
    <w:rsid w:val="0047238B"/>
    <w:rsid w:val="00490B5A"/>
    <w:rsid w:val="004A2297"/>
    <w:rsid w:val="004A689F"/>
    <w:rsid w:val="004B0859"/>
    <w:rsid w:val="004D2CF8"/>
    <w:rsid w:val="004D37F9"/>
    <w:rsid w:val="004D67FF"/>
    <w:rsid w:val="004F0070"/>
    <w:rsid w:val="00510DDF"/>
    <w:rsid w:val="005154E5"/>
    <w:rsid w:val="00532818"/>
    <w:rsid w:val="00534B20"/>
    <w:rsid w:val="00553890"/>
    <w:rsid w:val="00554E92"/>
    <w:rsid w:val="00582C05"/>
    <w:rsid w:val="00587342"/>
    <w:rsid w:val="005B4FDE"/>
    <w:rsid w:val="005C78AE"/>
    <w:rsid w:val="00616CBD"/>
    <w:rsid w:val="00653DE7"/>
    <w:rsid w:val="006662EF"/>
    <w:rsid w:val="00672C86"/>
    <w:rsid w:val="00676BD8"/>
    <w:rsid w:val="006847B4"/>
    <w:rsid w:val="006971A6"/>
    <w:rsid w:val="006E4457"/>
    <w:rsid w:val="00701369"/>
    <w:rsid w:val="00707377"/>
    <w:rsid w:val="00715C18"/>
    <w:rsid w:val="00732DA0"/>
    <w:rsid w:val="007455CE"/>
    <w:rsid w:val="00750148"/>
    <w:rsid w:val="007860A3"/>
    <w:rsid w:val="007A2595"/>
    <w:rsid w:val="007C6A2A"/>
    <w:rsid w:val="007C7F7D"/>
    <w:rsid w:val="007D22A4"/>
    <w:rsid w:val="007D4ABC"/>
    <w:rsid w:val="007E63AC"/>
    <w:rsid w:val="007F7526"/>
    <w:rsid w:val="007F7A82"/>
    <w:rsid w:val="00812B85"/>
    <w:rsid w:val="0081564B"/>
    <w:rsid w:val="00824705"/>
    <w:rsid w:val="008359E7"/>
    <w:rsid w:val="008373D5"/>
    <w:rsid w:val="00851ECF"/>
    <w:rsid w:val="0086192B"/>
    <w:rsid w:val="008A5332"/>
    <w:rsid w:val="008D04B6"/>
    <w:rsid w:val="008D16A6"/>
    <w:rsid w:val="008D2AE9"/>
    <w:rsid w:val="008D50D3"/>
    <w:rsid w:val="008E05E4"/>
    <w:rsid w:val="008E3790"/>
    <w:rsid w:val="008E6D66"/>
    <w:rsid w:val="009115F1"/>
    <w:rsid w:val="00921B38"/>
    <w:rsid w:val="00932EEB"/>
    <w:rsid w:val="00943D1D"/>
    <w:rsid w:val="009468A5"/>
    <w:rsid w:val="00966FE2"/>
    <w:rsid w:val="0097330E"/>
    <w:rsid w:val="0098502D"/>
    <w:rsid w:val="009A6521"/>
    <w:rsid w:val="009B08F9"/>
    <w:rsid w:val="009D4EED"/>
    <w:rsid w:val="009E1D5C"/>
    <w:rsid w:val="00A02FA8"/>
    <w:rsid w:val="00A335FE"/>
    <w:rsid w:val="00A37300"/>
    <w:rsid w:val="00A50CF2"/>
    <w:rsid w:val="00A55B9E"/>
    <w:rsid w:val="00A753A0"/>
    <w:rsid w:val="00AB7A9F"/>
    <w:rsid w:val="00AC0176"/>
    <w:rsid w:val="00AC6579"/>
    <w:rsid w:val="00AD0B2B"/>
    <w:rsid w:val="00AE7B97"/>
    <w:rsid w:val="00AF4625"/>
    <w:rsid w:val="00B13D64"/>
    <w:rsid w:val="00B170D3"/>
    <w:rsid w:val="00B20002"/>
    <w:rsid w:val="00B254E6"/>
    <w:rsid w:val="00B3542F"/>
    <w:rsid w:val="00B35EC2"/>
    <w:rsid w:val="00B53FD9"/>
    <w:rsid w:val="00B72294"/>
    <w:rsid w:val="00B868B7"/>
    <w:rsid w:val="00BB1AC2"/>
    <w:rsid w:val="00BC76A7"/>
    <w:rsid w:val="00BE2949"/>
    <w:rsid w:val="00BF1989"/>
    <w:rsid w:val="00C03D9D"/>
    <w:rsid w:val="00C370B5"/>
    <w:rsid w:val="00C66083"/>
    <w:rsid w:val="00C66651"/>
    <w:rsid w:val="00CD752A"/>
    <w:rsid w:val="00D0046D"/>
    <w:rsid w:val="00D04706"/>
    <w:rsid w:val="00D234B2"/>
    <w:rsid w:val="00D3792F"/>
    <w:rsid w:val="00D55721"/>
    <w:rsid w:val="00D6227C"/>
    <w:rsid w:val="00D82D03"/>
    <w:rsid w:val="00D86325"/>
    <w:rsid w:val="00DA62CE"/>
    <w:rsid w:val="00DB06B4"/>
    <w:rsid w:val="00DB795E"/>
    <w:rsid w:val="00DC001F"/>
    <w:rsid w:val="00DC1C5A"/>
    <w:rsid w:val="00DD1467"/>
    <w:rsid w:val="00DF2522"/>
    <w:rsid w:val="00E376D2"/>
    <w:rsid w:val="00E40F06"/>
    <w:rsid w:val="00E66BDA"/>
    <w:rsid w:val="00E67DEF"/>
    <w:rsid w:val="00E8603A"/>
    <w:rsid w:val="00EC1732"/>
    <w:rsid w:val="00ED2825"/>
    <w:rsid w:val="00EF071D"/>
    <w:rsid w:val="00EF7D7F"/>
    <w:rsid w:val="00F074CE"/>
    <w:rsid w:val="00F22525"/>
    <w:rsid w:val="00F30B3D"/>
    <w:rsid w:val="00F41241"/>
    <w:rsid w:val="00F47438"/>
    <w:rsid w:val="00F54386"/>
    <w:rsid w:val="00F65876"/>
    <w:rsid w:val="00F728FE"/>
    <w:rsid w:val="00FA4BDF"/>
    <w:rsid w:val="00FA5890"/>
    <w:rsid w:val="00FC11B0"/>
    <w:rsid w:val="00FD7EB6"/>
    <w:rsid w:val="00FE2423"/>
    <w:rsid w:val="00FF257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53813B"/>
  <w15:chartTrackingRefBased/>
  <w15:docId w15:val="{9FB6DAEE-8E6E-462A-B20B-3BFD566E1E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D0046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D0046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unhideWhenUsed/>
    <w:qFormat/>
    <w:rsid w:val="00D0046D"/>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D0046D"/>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D0046D"/>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D0046D"/>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D0046D"/>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D0046D"/>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D0046D"/>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D0046D"/>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D0046D"/>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rsid w:val="00D0046D"/>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D0046D"/>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D0046D"/>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D0046D"/>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D0046D"/>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D0046D"/>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D0046D"/>
    <w:rPr>
      <w:rFonts w:eastAsiaTheme="majorEastAsia" w:cstheme="majorBidi"/>
      <w:color w:val="272727" w:themeColor="text1" w:themeTint="D8"/>
    </w:rPr>
  </w:style>
  <w:style w:type="paragraph" w:styleId="Titolo">
    <w:name w:val="Title"/>
    <w:basedOn w:val="Normale"/>
    <w:next w:val="Normale"/>
    <w:link w:val="TitoloCarattere"/>
    <w:uiPriority w:val="10"/>
    <w:qFormat/>
    <w:rsid w:val="00D0046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D0046D"/>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D0046D"/>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D0046D"/>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D0046D"/>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D0046D"/>
    <w:rPr>
      <w:i/>
      <w:iCs/>
      <w:color w:val="404040" w:themeColor="text1" w:themeTint="BF"/>
    </w:rPr>
  </w:style>
  <w:style w:type="paragraph" w:styleId="Paragrafoelenco">
    <w:name w:val="List Paragraph"/>
    <w:basedOn w:val="Normale"/>
    <w:uiPriority w:val="34"/>
    <w:qFormat/>
    <w:rsid w:val="00D0046D"/>
    <w:pPr>
      <w:ind w:left="720"/>
      <w:contextualSpacing/>
    </w:pPr>
  </w:style>
  <w:style w:type="character" w:styleId="Enfasiintensa">
    <w:name w:val="Intense Emphasis"/>
    <w:basedOn w:val="Carpredefinitoparagrafo"/>
    <w:uiPriority w:val="21"/>
    <w:qFormat/>
    <w:rsid w:val="00D0046D"/>
    <w:rPr>
      <w:i/>
      <w:iCs/>
      <w:color w:val="2F5496" w:themeColor="accent1" w:themeShade="BF"/>
    </w:rPr>
  </w:style>
  <w:style w:type="paragraph" w:styleId="Citazioneintensa">
    <w:name w:val="Intense Quote"/>
    <w:basedOn w:val="Normale"/>
    <w:next w:val="Normale"/>
    <w:link w:val="CitazioneintensaCarattere"/>
    <w:uiPriority w:val="30"/>
    <w:qFormat/>
    <w:rsid w:val="00D0046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D0046D"/>
    <w:rPr>
      <w:i/>
      <w:iCs/>
      <w:color w:val="2F5496" w:themeColor="accent1" w:themeShade="BF"/>
    </w:rPr>
  </w:style>
  <w:style w:type="character" w:styleId="Riferimentointenso">
    <w:name w:val="Intense Reference"/>
    <w:basedOn w:val="Carpredefinitoparagrafo"/>
    <w:uiPriority w:val="32"/>
    <w:qFormat/>
    <w:rsid w:val="00D0046D"/>
    <w:rPr>
      <w:b/>
      <w:bCs/>
      <w:smallCaps/>
      <w:color w:val="2F5496" w:themeColor="accent1" w:themeShade="BF"/>
      <w:spacing w:val="5"/>
    </w:rPr>
  </w:style>
  <w:style w:type="character" w:styleId="Collegamentoipertestuale">
    <w:name w:val="Hyperlink"/>
    <w:basedOn w:val="Carpredefinitoparagrafo"/>
    <w:uiPriority w:val="99"/>
    <w:unhideWhenUsed/>
    <w:rsid w:val="00750148"/>
    <w:rPr>
      <w:color w:val="0563C1" w:themeColor="hyperlink"/>
      <w:u w:val="single"/>
    </w:rPr>
  </w:style>
  <w:style w:type="character" w:styleId="Menzionenonrisolta">
    <w:name w:val="Unresolved Mention"/>
    <w:basedOn w:val="Carpredefinitoparagrafo"/>
    <w:uiPriority w:val="99"/>
    <w:semiHidden/>
    <w:unhideWhenUsed/>
    <w:rsid w:val="00750148"/>
    <w:rPr>
      <w:color w:val="605E5C"/>
      <w:shd w:val="clear" w:color="auto" w:fill="E1DFDD"/>
    </w:rPr>
  </w:style>
  <w:style w:type="paragraph" w:styleId="Testonotaapidipagina">
    <w:name w:val="footnote text"/>
    <w:basedOn w:val="Normale"/>
    <w:link w:val="TestonotaapidipaginaCarattere"/>
    <w:uiPriority w:val="99"/>
    <w:semiHidden/>
    <w:unhideWhenUsed/>
    <w:rsid w:val="00587342"/>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587342"/>
    <w:rPr>
      <w:sz w:val="20"/>
      <w:szCs w:val="20"/>
    </w:rPr>
  </w:style>
  <w:style w:type="character" w:styleId="Rimandonotaapidipagina">
    <w:name w:val="footnote reference"/>
    <w:basedOn w:val="Carpredefinitoparagrafo"/>
    <w:uiPriority w:val="99"/>
    <w:semiHidden/>
    <w:unhideWhenUsed/>
    <w:rsid w:val="00587342"/>
    <w:rPr>
      <w:vertAlign w:val="superscript"/>
    </w:rPr>
  </w:style>
  <w:style w:type="paragraph" w:styleId="NormaleWeb">
    <w:name w:val="Normal (Web)"/>
    <w:basedOn w:val="Normale"/>
    <w:uiPriority w:val="99"/>
    <w:unhideWhenUsed/>
    <w:rsid w:val="00AE7B97"/>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character" w:styleId="Enfasigrassetto">
    <w:name w:val="Strong"/>
    <w:basedOn w:val="Carpredefinitoparagrafo"/>
    <w:uiPriority w:val="22"/>
    <w:qFormat/>
    <w:rsid w:val="00DF2522"/>
    <w:rPr>
      <w:b/>
      <w:bCs/>
    </w:rPr>
  </w:style>
  <w:style w:type="character" w:styleId="Rimandocommento">
    <w:name w:val="annotation reference"/>
    <w:basedOn w:val="Carpredefinitoparagrafo"/>
    <w:uiPriority w:val="99"/>
    <w:semiHidden/>
    <w:unhideWhenUsed/>
    <w:rsid w:val="00BF1989"/>
    <w:rPr>
      <w:sz w:val="16"/>
      <w:szCs w:val="16"/>
    </w:rPr>
  </w:style>
  <w:style w:type="paragraph" w:styleId="Testocommento">
    <w:name w:val="annotation text"/>
    <w:basedOn w:val="Normale"/>
    <w:link w:val="TestocommentoCarattere"/>
    <w:uiPriority w:val="99"/>
    <w:unhideWhenUsed/>
    <w:rsid w:val="00BF1989"/>
    <w:pPr>
      <w:spacing w:line="240" w:lineRule="auto"/>
    </w:pPr>
    <w:rPr>
      <w:sz w:val="20"/>
      <w:szCs w:val="20"/>
    </w:rPr>
  </w:style>
  <w:style w:type="character" w:customStyle="1" w:styleId="TestocommentoCarattere">
    <w:name w:val="Testo commento Carattere"/>
    <w:basedOn w:val="Carpredefinitoparagrafo"/>
    <w:link w:val="Testocommento"/>
    <w:uiPriority w:val="99"/>
    <w:rsid w:val="00BF1989"/>
    <w:rPr>
      <w:sz w:val="20"/>
      <w:szCs w:val="20"/>
    </w:rPr>
  </w:style>
  <w:style w:type="paragraph" w:styleId="Soggettocommento">
    <w:name w:val="annotation subject"/>
    <w:basedOn w:val="Testocommento"/>
    <w:next w:val="Testocommento"/>
    <w:link w:val="SoggettocommentoCarattere"/>
    <w:uiPriority w:val="99"/>
    <w:semiHidden/>
    <w:unhideWhenUsed/>
    <w:rsid w:val="00BF1989"/>
    <w:rPr>
      <w:b/>
      <w:bCs/>
    </w:rPr>
  </w:style>
  <w:style w:type="character" w:customStyle="1" w:styleId="SoggettocommentoCarattere">
    <w:name w:val="Soggetto commento Carattere"/>
    <w:basedOn w:val="TestocommentoCarattere"/>
    <w:link w:val="Soggettocommento"/>
    <w:uiPriority w:val="99"/>
    <w:semiHidden/>
    <w:rsid w:val="00BF1989"/>
    <w:rPr>
      <w:b/>
      <w:bCs/>
      <w:sz w:val="20"/>
      <w:szCs w:val="20"/>
    </w:rPr>
  </w:style>
  <w:style w:type="paragraph" w:styleId="Testonotadichiusura">
    <w:name w:val="endnote text"/>
    <w:basedOn w:val="Normale"/>
    <w:link w:val="TestonotadichiusuraCarattere"/>
    <w:uiPriority w:val="99"/>
    <w:semiHidden/>
    <w:unhideWhenUsed/>
    <w:rsid w:val="00F54386"/>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F54386"/>
    <w:rPr>
      <w:sz w:val="20"/>
      <w:szCs w:val="20"/>
    </w:rPr>
  </w:style>
  <w:style w:type="character" w:styleId="Rimandonotadichiusura">
    <w:name w:val="endnote reference"/>
    <w:basedOn w:val="Carpredefinitoparagrafo"/>
    <w:uiPriority w:val="99"/>
    <w:semiHidden/>
    <w:unhideWhenUsed/>
    <w:rsid w:val="00F5438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86004">
      <w:bodyDiv w:val="1"/>
      <w:marLeft w:val="0"/>
      <w:marRight w:val="0"/>
      <w:marTop w:val="0"/>
      <w:marBottom w:val="0"/>
      <w:divBdr>
        <w:top w:val="none" w:sz="0" w:space="0" w:color="auto"/>
        <w:left w:val="none" w:sz="0" w:space="0" w:color="auto"/>
        <w:bottom w:val="none" w:sz="0" w:space="0" w:color="auto"/>
        <w:right w:val="none" w:sz="0" w:space="0" w:color="auto"/>
      </w:divBdr>
    </w:div>
    <w:div w:id="8996839">
      <w:bodyDiv w:val="1"/>
      <w:marLeft w:val="0"/>
      <w:marRight w:val="0"/>
      <w:marTop w:val="0"/>
      <w:marBottom w:val="0"/>
      <w:divBdr>
        <w:top w:val="none" w:sz="0" w:space="0" w:color="auto"/>
        <w:left w:val="none" w:sz="0" w:space="0" w:color="auto"/>
        <w:bottom w:val="none" w:sz="0" w:space="0" w:color="auto"/>
        <w:right w:val="none" w:sz="0" w:space="0" w:color="auto"/>
      </w:divBdr>
    </w:div>
    <w:div w:id="10499716">
      <w:bodyDiv w:val="1"/>
      <w:marLeft w:val="0"/>
      <w:marRight w:val="0"/>
      <w:marTop w:val="0"/>
      <w:marBottom w:val="0"/>
      <w:divBdr>
        <w:top w:val="none" w:sz="0" w:space="0" w:color="auto"/>
        <w:left w:val="none" w:sz="0" w:space="0" w:color="auto"/>
        <w:bottom w:val="none" w:sz="0" w:space="0" w:color="auto"/>
        <w:right w:val="none" w:sz="0" w:space="0" w:color="auto"/>
      </w:divBdr>
    </w:div>
    <w:div w:id="33192001">
      <w:bodyDiv w:val="1"/>
      <w:marLeft w:val="0"/>
      <w:marRight w:val="0"/>
      <w:marTop w:val="0"/>
      <w:marBottom w:val="0"/>
      <w:divBdr>
        <w:top w:val="none" w:sz="0" w:space="0" w:color="auto"/>
        <w:left w:val="none" w:sz="0" w:space="0" w:color="auto"/>
        <w:bottom w:val="none" w:sz="0" w:space="0" w:color="auto"/>
        <w:right w:val="none" w:sz="0" w:space="0" w:color="auto"/>
      </w:divBdr>
    </w:div>
    <w:div w:id="48114407">
      <w:bodyDiv w:val="1"/>
      <w:marLeft w:val="0"/>
      <w:marRight w:val="0"/>
      <w:marTop w:val="0"/>
      <w:marBottom w:val="0"/>
      <w:divBdr>
        <w:top w:val="none" w:sz="0" w:space="0" w:color="auto"/>
        <w:left w:val="none" w:sz="0" w:space="0" w:color="auto"/>
        <w:bottom w:val="none" w:sz="0" w:space="0" w:color="auto"/>
        <w:right w:val="none" w:sz="0" w:space="0" w:color="auto"/>
      </w:divBdr>
    </w:div>
    <w:div w:id="99303548">
      <w:bodyDiv w:val="1"/>
      <w:marLeft w:val="0"/>
      <w:marRight w:val="0"/>
      <w:marTop w:val="0"/>
      <w:marBottom w:val="0"/>
      <w:divBdr>
        <w:top w:val="none" w:sz="0" w:space="0" w:color="auto"/>
        <w:left w:val="none" w:sz="0" w:space="0" w:color="auto"/>
        <w:bottom w:val="none" w:sz="0" w:space="0" w:color="auto"/>
        <w:right w:val="none" w:sz="0" w:space="0" w:color="auto"/>
      </w:divBdr>
    </w:div>
    <w:div w:id="145635365">
      <w:bodyDiv w:val="1"/>
      <w:marLeft w:val="0"/>
      <w:marRight w:val="0"/>
      <w:marTop w:val="0"/>
      <w:marBottom w:val="0"/>
      <w:divBdr>
        <w:top w:val="none" w:sz="0" w:space="0" w:color="auto"/>
        <w:left w:val="none" w:sz="0" w:space="0" w:color="auto"/>
        <w:bottom w:val="none" w:sz="0" w:space="0" w:color="auto"/>
        <w:right w:val="none" w:sz="0" w:space="0" w:color="auto"/>
      </w:divBdr>
    </w:div>
    <w:div w:id="149180854">
      <w:bodyDiv w:val="1"/>
      <w:marLeft w:val="0"/>
      <w:marRight w:val="0"/>
      <w:marTop w:val="0"/>
      <w:marBottom w:val="0"/>
      <w:divBdr>
        <w:top w:val="none" w:sz="0" w:space="0" w:color="auto"/>
        <w:left w:val="none" w:sz="0" w:space="0" w:color="auto"/>
        <w:bottom w:val="none" w:sz="0" w:space="0" w:color="auto"/>
        <w:right w:val="none" w:sz="0" w:space="0" w:color="auto"/>
      </w:divBdr>
    </w:div>
    <w:div w:id="205531309">
      <w:bodyDiv w:val="1"/>
      <w:marLeft w:val="0"/>
      <w:marRight w:val="0"/>
      <w:marTop w:val="0"/>
      <w:marBottom w:val="0"/>
      <w:divBdr>
        <w:top w:val="none" w:sz="0" w:space="0" w:color="auto"/>
        <w:left w:val="none" w:sz="0" w:space="0" w:color="auto"/>
        <w:bottom w:val="none" w:sz="0" w:space="0" w:color="auto"/>
        <w:right w:val="none" w:sz="0" w:space="0" w:color="auto"/>
      </w:divBdr>
    </w:div>
    <w:div w:id="244649719">
      <w:bodyDiv w:val="1"/>
      <w:marLeft w:val="0"/>
      <w:marRight w:val="0"/>
      <w:marTop w:val="0"/>
      <w:marBottom w:val="0"/>
      <w:divBdr>
        <w:top w:val="none" w:sz="0" w:space="0" w:color="auto"/>
        <w:left w:val="none" w:sz="0" w:space="0" w:color="auto"/>
        <w:bottom w:val="none" w:sz="0" w:space="0" w:color="auto"/>
        <w:right w:val="none" w:sz="0" w:space="0" w:color="auto"/>
      </w:divBdr>
    </w:div>
    <w:div w:id="255526059">
      <w:bodyDiv w:val="1"/>
      <w:marLeft w:val="0"/>
      <w:marRight w:val="0"/>
      <w:marTop w:val="0"/>
      <w:marBottom w:val="0"/>
      <w:divBdr>
        <w:top w:val="none" w:sz="0" w:space="0" w:color="auto"/>
        <w:left w:val="none" w:sz="0" w:space="0" w:color="auto"/>
        <w:bottom w:val="none" w:sz="0" w:space="0" w:color="auto"/>
        <w:right w:val="none" w:sz="0" w:space="0" w:color="auto"/>
      </w:divBdr>
    </w:div>
    <w:div w:id="267658681">
      <w:bodyDiv w:val="1"/>
      <w:marLeft w:val="0"/>
      <w:marRight w:val="0"/>
      <w:marTop w:val="0"/>
      <w:marBottom w:val="0"/>
      <w:divBdr>
        <w:top w:val="none" w:sz="0" w:space="0" w:color="auto"/>
        <w:left w:val="none" w:sz="0" w:space="0" w:color="auto"/>
        <w:bottom w:val="none" w:sz="0" w:space="0" w:color="auto"/>
        <w:right w:val="none" w:sz="0" w:space="0" w:color="auto"/>
      </w:divBdr>
    </w:div>
    <w:div w:id="280188102">
      <w:bodyDiv w:val="1"/>
      <w:marLeft w:val="0"/>
      <w:marRight w:val="0"/>
      <w:marTop w:val="0"/>
      <w:marBottom w:val="0"/>
      <w:divBdr>
        <w:top w:val="none" w:sz="0" w:space="0" w:color="auto"/>
        <w:left w:val="none" w:sz="0" w:space="0" w:color="auto"/>
        <w:bottom w:val="none" w:sz="0" w:space="0" w:color="auto"/>
        <w:right w:val="none" w:sz="0" w:space="0" w:color="auto"/>
      </w:divBdr>
    </w:div>
    <w:div w:id="301080108">
      <w:bodyDiv w:val="1"/>
      <w:marLeft w:val="0"/>
      <w:marRight w:val="0"/>
      <w:marTop w:val="0"/>
      <w:marBottom w:val="0"/>
      <w:divBdr>
        <w:top w:val="none" w:sz="0" w:space="0" w:color="auto"/>
        <w:left w:val="none" w:sz="0" w:space="0" w:color="auto"/>
        <w:bottom w:val="none" w:sz="0" w:space="0" w:color="auto"/>
        <w:right w:val="none" w:sz="0" w:space="0" w:color="auto"/>
      </w:divBdr>
    </w:div>
    <w:div w:id="312639279">
      <w:bodyDiv w:val="1"/>
      <w:marLeft w:val="0"/>
      <w:marRight w:val="0"/>
      <w:marTop w:val="0"/>
      <w:marBottom w:val="0"/>
      <w:divBdr>
        <w:top w:val="none" w:sz="0" w:space="0" w:color="auto"/>
        <w:left w:val="none" w:sz="0" w:space="0" w:color="auto"/>
        <w:bottom w:val="none" w:sz="0" w:space="0" w:color="auto"/>
        <w:right w:val="none" w:sz="0" w:space="0" w:color="auto"/>
      </w:divBdr>
    </w:div>
    <w:div w:id="369652880">
      <w:bodyDiv w:val="1"/>
      <w:marLeft w:val="0"/>
      <w:marRight w:val="0"/>
      <w:marTop w:val="0"/>
      <w:marBottom w:val="0"/>
      <w:divBdr>
        <w:top w:val="none" w:sz="0" w:space="0" w:color="auto"/>
        <w:left w:val="none" w:sz="0" w:space="0" w:color="auto"/>
        <w:bottom w:val="none" w:sz="0" w:space="0" w:color="auto"/>
        <w:right w:val="none" w:sz="0" w:space="0" w:color="auto"/>
      </w:divBdr>
    </w:div>
    <w:div w:id="377050013">
      <w:bodyDiv w:val="1"/>
      <w:marLeft w:val="0"/>
      <w:marRight w:val="0"/>
      <w:marTop w:val="0"/>
      <w:marBottom w:val="0"/>
      <w:divBdr>
        <w:top w:val="none" w:sz="0" w:space="0" w:color="auto"/>
        <w:left w:val="none" w:sz="0" w:space="0" w:color="auto"/>
        <w:bottom w:val="none" w:sz="0" w:space="0" w:color="auto"/>
        <w:right w:val="none" w:sz="0" w:space="0" w:color="auto"/>
      </w:divBdr>
    </w:div>
    <w:div w:id="383217755">
      <w:bodyDiv w:val="1"/>
      <w:marLeft w:val="0"/>
      <w:marRight w:val="0"/>
      <w:marTop w:val="0"/>
      <w:marBottom w:val="0"/>
      <w:divBdr>
        <w:top w:val="none" w:sz="0" w:space="0" w:color="auto"/>
        <w:left w:val="none" w:sz="0" w:space="0" w:color="auto"/>
        <w:bottom w:val="none" w:sz="0" w:space="0" w:color="auto"/>
        <w:right w:val="none" w:sz="0" w:space="0" w:color="auto"/>
      </w:divBdr>
    </w:div>
    <w:div w:id="402721409">
      <w:bodyDiv w:val="1"/>
      <w:marLeft w:val="0"/>
      <w:marRight w:val="0"/>
      <w:marTop w:val="0"/>
      <w:marBottom w:val="0"/>
      <w:divBdr>
        <w:top w:val="none" w:sz="0" w:space="0" w:color="auto"/>
        <w:left w:val="none" w:sz="0" w:space="0" w:color="auto"/>
        <w:bottom w:val="none" w:sz="0" w:space="0" w:color="auto"/>
        <w:right w:val="none" w:sz="0" w:space="0" w:color="auto"/>
      </w:divBdr>
    </w:div>
    <w:div w:id="406416028">
      <w:bodyDiv w:val="1"/>
      <w:marLeft w:val="0"/>
      <w:marRight w:val="0"/>
      <w:marTop w:val="0"/>
      <w:marBottom w:val="0"/>
      <w:divBdr>
        <w:top w:val="none" w:sz="0" w:space="0" w:color="auto"/>
        <w:left w:val="none" w:sz="0" w:space="0" w:color="auto"/>
        <w:bottom w:val="none" w:sz="0" w:space="0" w:color="auto"/>
        <w:right w:val="none" w:sz="0" w:space="0" w:color="auto"/>
      </w:divBdr>
      <w:divsChild>
        <w:div w:id="6055960">
          <w:marLeft w:val="0"/>
          <w:marRight w:val="0"/>
          <w:marTop w:val="0"/>
          <w:marBottom w:val="0"/>
          <w:divBdr>
            <w:top w:val="none" w:sz="0" w:space="0" w:color="auto"/>
            <w:left w:val="none" w:sz="0" w:space="0" w:color="auto"/>
            <w:bottom w:val="none" w:sz="0" w:space="0" w:color="auto"/>
            <w:right w:val="none" w:sz="0" w:space="0" w:color="auto"/>
          </w:divBdr>
          <w:divsChild>
            <w:div w:id="1290017267">
              <w:marLeft w:val="0"/>
              <w:marRight w:val="0"/>
              <w:marTop w:val="0"/>
              <w:marBottom w:val="0"/>
              <w:divBdr>
                <w:top w:val="none" w:sz="0" w:space="0" w:color="auto"/>
                <w:left w:val="none" w:sz="0" w:space="0" w:color="auto"/>
                <w:bottom w:val="none" w:sz="0" w:space="0" w:color="auto"/>
                <w:right w:val="none" w:sz="0" w:space="0" w:color="auto"/>
              </w:divBdr>
              <w:divsChild>
                <w:div w:id="376316519">
                  <w:marLeft w:val="0"/>
                  <w:marRight w:val="0"/>
                  <w:marTop w:val="0"/>
                  <w:marBottom w:val="0"/>
                  <w:divBdr>
                    <w:top w:val="none" w:sz="0" w:space="0" w:color="auto"/>
                    <w:left w:val="none" w:sz="0" w:space="0" w:color="auto"/>
                    <w:bottom w:val="none" w:sz="0" w:space="0" w:color="auto"/>
                    <w:right w:val="none" w:sz="0" w:space="0" w:color="auto"/>
                  </w:divBdr>
                  <w:divsChild>
                    <w:div w:id="366952483">
                      <w:marLeft w:val="0"/>
                      <w:marRight w:val="0"/>
                      <w:marTop w:val="0"/>
                      <w:marBottom w:val="0"/>
                      <w:divBdr>
                        <w:top w:val="none" w:sz="0" w:space="0" w:color="auto"/>
                        <w:left w:val="none" w:sz="0" w:space="0" w:color="auto"/>
                        <w:bottom w:val="none" w:sz="0" w:space="0" w:color="auto"/>
                        <w:right w:val="none" w:sz="0" w:space="0" w:color="auto"/>
                      </w:divBdr>
                      <w:divsChild>
                        <w:div w:id="272708455">
                          <w:marLeft w:val="0"/>
                          <w:marRight w:val="0"/>
                          <w:marTop w:val="0"/>
                          <w:marBottom w:val="0"/>
                          <w:divBdr>
                            <w:top w:val="none" w:sz="0" w:space="0" w:color="auto"/>
                            <w:left w:val="none" w:sz="0" w:space="0" w:color="auto"/>
                            <w:bottom w:val="none" w:sz="0" w:space="0" w:color="auto"/>
                            <w:right w:val="none" w:sz="0" w:space="0" w:color="auto"/>
                          </w:divBdr>
                          <w:divsChild>
                            <w:div w:id="371729324">
                              <w:marLeft w:val="0"/>
                              <w:marRight w:val="0"/>
                              <w:marTop w:val="0"/>
                              <w:marBottom w:val="0"/>
                              <w:divBdr>
                                <w:top w:val="none" w:sz="0" w:space="0" w:color="auto"/>
                                <w:left w:val="none" w:sz="0" w:space="0" w:color="auto"/>
                                <w:bottom w:val="none" w:sz="0" w:space="0" w:color="auto"/>
                                <w:right w:val="none" w:sz="0" w:space="0" w:color="auto"/>
                              </w:divBdr>
                              <w:divsChild>
                                <w:div w:id="1775978328">
                                  <w:marLeft w:val="0"/>
                                  <w:marRight w:val="0"/>
                                  <w:marTop w:val="0"/>
                                  <w:marBottom w:val="0"/>
                                  <w:divBdr>
                                    <w:top w:val="none" w:sz="0" w:space="0" w:color="auto"/>
                                    <w:left w:val="none" w:sz="0" w:space="0" w:color="auto"/>
                                    <w:bottom w:val="none" w:sz="0" w:space="0" w:color="auto"/>
                                    <w:right w:val="none" w:sz="0" w:space="0" w:color="auto"/>
                                  </w:divBdr>
                                  <w:divsChild>
                                    <w:div w:id="490634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10548446">
      <w:bodyDiv w:val="1"/>
      <w:marLeft w:val="0"/>
      <w:marRight w:val="0"/>
      <w:marTop w:val="0"/>
      <w:marBottom w:val="0"/>
      <w:divBdr>
        <w:top w:val="none" w:sz="0" w:space="0" w:color="auto"/>
        <w:left w:val="none" w:sz="0" w:space="0" w:color="auto"/>
        <w:bottom w:val="none" w:sz="0" w:space="0" w:color="auto"/>
        <w:right w:val="none" w:sz="0" w:space="0" w:color="auto"/>
      </w:divBdr>
    </w:div>
    <w:div w:id="499084539">
      <w:bodyDiv w:val="1"/>
      <w:marLeft w:val="0"/>
      <w:marRight w:val="0"/>
      <w:marTop w:val="0"/>
      <w:marBottom w:val="0"/>
      <w:divBdr>
        <w:top w:val="none" w:sz="0" w:space="0" w:color="auto"/>
        <w:left w:val="none" w:sz="0" w:space="0" w:color="auto"/>
        <w:bottom w:val="none" w:sz="0" w:space="0" w:color="auto"/>
        <w:right w:val="none" w:sz="0" w:space="0" w:color="auto"/>
      </w:divBdr>
    </w:div>
    <w:div w:id="527330831">
      <w:bodyDiv w:val="1"/>
      <w:marLeft w:val="0"/>
      <w:marRight w:val="0"/>
      <w:marTop w:val="0"/>
      <w:marBottom w:val="0"/>
      <w:divBdr>
        <w:top w:val="none" w:sz="0" w:space="0" w:color="auto"/>
        <w:left w:val="none" w:sz="0" w:space="0" w:color="auto"/>
        <w:bottom w:val="none" w:sz="0" w:space="0" w:color="auto"/>
        <w:right w:val="none" w:sz="0" w:space="0" w:color="auto"/>
      </w:divBdr>
    </w:div>
    <w:div w:id="556745121">
      <w:bodyDiv w:val="1"/>
      <w:marLeft w:val="0"/>
      <w:marRight w:val="0"/>
      <w:marTop w:val="0"/>
      <w:marBottom w:val="0"/>
      <w:divBdr>
        <w:top w:val="none" w:sz="0" w:space="0" w:color="auto"/>
        <w:left w:val="none" w:sz="0" w:space="0" w:color="auto"/>
        <w:bottom w:val="none" w:sz="0" w:space="0" w:color="auto"/>
        <w:right w:val="none" w:sz="0" w:space="0" w:color="auto"/>
      </w:divBdr>
    </w:div>
    <w:div w:id="567106780">
      <w:bodyDiv w:val="1"/>
      <w:marLeft w:val="0"/>
      <w:marRight w:val="0"/>
      <w:marTop w:val="0"/>
      <w:marBottom w:val="0"/>
      <w:divBdr>
        <w:top w:val="none" w:sz="0" w:space="0" w:color="auto"/>
        <w:left w:val="none" w:sz="0" w:space="0" w:color="auto"/>
        <w:bottom w:val="none" w:sz="0" w:space="0" w:color="auto"/>
        <w:right w:val="none" w:sz="0" w:space="0" w:color="auto"/>
      </w:divBdr>
    </w:div>
    <w:div w:id="567422490">
      <w:bodyDiv w:val="1"/>
      <w:marLeft w:val="0"/>
      <w:marRight w:val="0"/>
      <w:marTop w:val="0"/>
      <w:marBottom w:val="0"/>
      <w:divBdr>
        <w:top w:val="none" w:sz="0" w:space="0" w:color="auto"/>
        <w:left w:val="none" w:sz="0" w:space="0" w:color="auto"/>
        <w:bottom w:val="none" w:sz="0" w:space="0" w:color="auto"/>
        <w:right w:val="none" w:sz="0" w:space="0" w:color="auto"/>
      </w:divBdr>
    </w:div>
    <w:div w:id="669139198">
      <w:bodyDiv w:val="1"/>
      <w:marLeft w:val="0"/>
      <w:marRight w:val="0"/>
      <w:marTop w:val="0"/>
      <w:marBottom w:val="0"/>
      <w:divBdr>
        <w:top w:val="none" w:sz="0" w:space="0" w:color="auto"/>
        <w:left w:val="none" w:sz="0" w:space="0" w:color="auto"/>
        <w:bottom w:val="none" w:sz="0" w:space="0" w:color="auto"/>
        <w:right w:val="none" w:sz="0" w:space="0" w:color="auto"/>
      </w:divBdr>
    </w:div>
    <w:div w:id="699938486">
      <w:bodyDiv w:val="1"/>
      <w:marLeft w:val="0"/>
      <w:marRight w:val="0"/>
      <w:marTop w:val="0"/>
      <w:marBottom w:val="0"/>
      <w:divBdr>
        <w:top w:val="none" w:sz="0" w:space="0" w:color="auto"/>
        <w:left w:val="none" w:sz="0" w:space="0" w:color="auto"/>
        <w:bottom w:val="none" w:sz="0" w:space="0" w:color="auto"/>
        <w:right w:val="none" w:sz="0" w:space="0" w:color="auto"/>
      </w:divBdr>
    </w:div>
    <w:div w:id="725295976">
      <w:bodyDiv w:val="1"/>
      <w:marLeft w:val="0"/>
      <w:marRight w:val="0"/>
      <w:marTop w:val="0"/>
      <w:marBottom w:val="0"/>
      <w:divBdr>
        <w:top w:val="none" w:sz="0" w:space="0" w:color="auto"/>
        <w:left w:val="none" w:sz="0" w:space="0" w:color="auto"/>
        <w:bottom w:val="none" w:sz="0" w:space="0" w:color="auto"/>
        <w:right w:val="none" w:sz="0" w:space="0" w:color="auto"/>
      </w:divBdr>
    </w:div>
    <w:div w:id="733551285">
      <w:bodyDiv w:val="1"/>
      <w:marLeft w:val="0"/>
      <w:marRight w:val="0"/>
      <w:marTop w:val="0"/>
      <w:marBottom w:val="0"/>
      <w:divBdr>
        <w:top w:val="none" w:sz="0" w:space="0" w:color="auto"/>
        <w:left w:val="none" w:sz="0" w:space="0" w:color="auto"/>
        <w:bottom w:val="none" w:sz="0" w:space="0" w:color="auto"/>
        <w:right w:val="none" w:sz="0" w:space="0" w:color="auto"/>
      </w:divBdr>
    </w:div>
    <w:div w:id="746808183">
      <w:bodyDiv w:val="1"/>
      <w:marLeft w:val="0"/>
      <w:marRight w:val="0"/>
      <w:marTop w:val="0"/>
      <w:marBottom w:val="0"/>
      <w:divBdr>
        <w:top w:val="none" w:sz="0" w:space="0" w:color="auto"/>
        <w:left w:val="none" w:sz="0" w:space="0" w:color="auto"/>
        <w:bottom w:val="none" w:sz="0" w:space="0" w:color="auto"/>
        <w:right w:val="none" w:sz="0" w:space="0" w:color="auto"/>
      </w:divBdr>
    </w:div>
    <w:div w:id="806629039">
      <w:bodyDiv w:val="1"/>
      <w:marLeft w:val="0"/>
      <w:marRight w:val="0"/>
      <w:marTop w:val="0"/>
      <w:marBottom w:val="0"/>
      <w:divBdr>
        <w:top w:val="none" w:sz="0" w:space="0" w:color="auto"/>
        <w:left w:val="none" w:sz="0" w:space="0" w:color="auto"/>
        <w:bottom w:val="none" w:sz="0" w:space="0" w:color="auto"/>
        <w:right w:val="none" w:sz="0" w:space="0" w:color="auto"/>
      </w:divBdr>
    </w:div>
    <w:div w:id="807748918">
      <w:bodyDiv w:val="1"/>
      <w:marLeft w:val="0"/>
      <w:marRight w:val="0"/>
      <w:marTop w:val="0"/>
      <w:marBottom w:val="0"/>
      <w:divBdr>
        <w:top w:val="none" w:sz="0" w:space="0" w:color="auto"/>
        <w:left w:val="none" w:sz="0" w:space="0" w:color="auto"/>
        <w:bottom w:val="none" w:sz="0" w:space="0" w:color="auto"/>
        <w:right w:val="none" w:sz="0" w:space="0" w:color="auto"/>
      </w:divBdr>
    </w:div>
    <w:div w:id="816730787">
      <w:bodyDiv w:val="1"/>
      <w:marLeft w:val="0"/>
      <w:marRight w:val="0"/>
      <w:marTop w:val="0"/>
      <w:marBottom w:val="0"/>
      <w:divBdr>
        <w:top w:val="none" w:sz="0" w:space="0" w:color="auto"/>
        <w:left w:val="none" w:sz="0" w:space="0" w:color="auto"/>
        <w:bottom w:val="none" w:sz="0" w:space="0" w:color="auto"/>
        <w:right w:val="none" w:sz="0" w:space="0" w:color="auto"/>
      </w:divBdr>
      <w:divsChild>
        <w:div w:id="1143350799">
          <w:marLeft w:val="0"/>
          <w:marRight w:val="0"/>
          <w:marTop w:val="0"/>
          <w:marBottom w:val="150"/>
          <w:divBdr>
            <w:top w:val="none" w:sz="0" w:space="0" w:color="auto"/>
            <w:left w:val="none" w:sz="0" w:space="0" w:color="auto"/>
            <w:bottom w:val="none" w:sz="0" w:space="0" w:color="auto"/>
            <w:right w:val="none" w:sz="0" w:space="0" w:color="auto"/>
          </w:divBdr>
        </w:div>
      </w:divsChild>
    </w:div>
    <w:div w:id="841548240">
      <w:bodyDiv w:val="1"/>
      <w:marLeft w:val="0"/>
      <w:marRight w:val="0"/>
      <w:marTop w:val="0"/>
      <w:marBottom w:val="0"/>
      <w:divBdr>
        <w:top w:val="none" w:sz="0" w:space="0" w:color="auto"/>
        <w:left w:val="none" w:sz="0" w:space="0" w:color="auto"/>
        <w:bottom w:val="none" w:sz="0" w:space="0" w:color="auto"/>
        <w:right w:val="none" w:sz="0" w:space="0" w:color="auto"/>
      </w:divBdr>
    </w:div>
    <w:div w:id="853349424">
      <w:bodyDiv w:val="1"/>
      <w:marLeft w:val="0"/>
      <w:marRight w:val="0"/>
      <w:marTop w:val="0"/>
      <w:marBottom w:val="0"/>
      <w:divBdr>
        <w:top w:val="none" w:sz="0" w:space="0" w:color="auto"/>
        <w:left w:val="none" w:sz="0" w:space="0" w:color="auto"/>
        <w:bottom w:val="none" w:sz="0" w:space="0" w:color="auto"/>
        <w:right w:val="none" w:sz="0" w:space="0" w:color="auto"/>
      </w:divBdr>
    </w:div>
    <w:div w:id="862941900">
      <w:bodyDiv w:val="1"/>
      <w:marLeft w:val="0"/>
      <w:marRight w:val="0"/>
      <w:marTop w:val="0"/>
      <w:marBottom w:val="0"/>
      <w:divBdr>
        <w:top w:val="none" w:sz="0" w:space="0" w:color="auto"/>
        <w:left w:val="none" w:sz="0" w:space="0" w:color="auto"/>
        <w:bottom w:val="none" w:sz="0" w:space="0" w:color="auto"/>
        <w:right w:val="none" w:sz="0" w:space="0" w:color="auto"/>
      </w:divBdr>
    </w:div>
    <w:div w:id="934748627">
      <w:bodyDiv w:val="1"/>
      <w:marLeft w:val="0"/>
      <w:marRight w:val="0"/>
      <w:marTop w:val="0"/>
      <w:marBottom w:val="0"/>
      <w:divBdr>
        <w:top w:val="none" w:sz="0" w:space="0" w:color="auto"/>
        <w:left w:val="none" w:sz="0" w:space="0" w:color="auto"/>
        <w:bottom w:val="none" w:sz="0" w:space="0" w:color="auto"/>
        <w:right w:val="none" w:sz="0" w:space="0" w:color="auto"/>
      </w:divBdr>
    </w:div>
    <w:div w:id="951741886">
      <w:bodyDiv w:val="1"/>
      <w:marLeft w:val="0"/>
      <w:marRight w:val="0"/>
      <w:marTop w:val="0"/>
      <w:marBottom w:val="0"/>
      <w:divBdr>
        <w:top w:val="none" w:sz="0" w:space="0" w:color="auto"/>
        <w:left w:val="none" w:sz="0" w:space="0" w:color="auto"/>
        <w:bottom w:val="none" w:sz="0" w:space="0" w:color="auto"/>
        <w:right w:val="none" w:sz="0" w:space="0" w:color="auto"/>
      </w:divBdr>
    </w:div>
    <w:div w:id="964696744">
      <w:bodyDiv w:val="1"/>
      <w:marLeft w:val="0"/>
      <w:marRight w:val="0"/>
      <w:marTop w:val="0"/>
      <w:marBottom w:val="0"/>
      <w:divBdr>
        <w:top w:val="none" w:sz="0" w:space="0" w:color="auto"/>
        <w:left w:val="none" w:sz="0" w:space="0" w:color="auto"/>
        <w:bottom w:val="none" w:sz="0" w:space="0" w:color="auto"/>
        <w:right w:val="none" w:sz="0" w:space="0" w:color="auto"/>
      </w:divBdr>
    </w:div>
    <w:div w:id="974139075">
      <w:bodyDiv w:val="1"/>
      <w:marLeft w:val="0"/>
      <w:marRight w:val="0"/>
      <w:marTop w:val="0"/>
      <w:marBottom w:val="0"/>
      <w:divBdr>
        <w:top w:val="none" w:sz="0" w:space="0" w:color="auto"/>
        <w:left w:val="none" w:sz="0" w:space="0" w:color="auto"/>
        <w:bottom w:val="none" w:sz="0" w:space="0" w:color="auto"/>
        <w:right w:val="none" w:sz="0" w:space="0" w:color="auto"/>
      </w:divBdr>
    </w:div>
    <w:div w:id="1098331613">
      <w:bodyDiv w:val="1"/>
      <w:marLeft w:val="0"/>
      <w:marRight w:val="0"/>
      <w:marTop w:val="0"/>
      <w:marBottom w:val="0"/>
      <w:divBdr>
        <w:top w:val="none" w:sz="0" w:space="0" w:color="auto"/>
        <w:left w:val="none" w:sz="0" w:space="0" w:color="auto"/>
        <w:bottom w:val="none" w:sz="0" w:space="0" w:color="auto"/>
        <w:right w:val="none" w:sz="0" w:space="0" w:color="auto"/>
      </w:divBdr>
    </w:div>
    <w:div w:id="1108044874">
      <w:bodyDiv w:val="1"/>
      <w:marLeft w:val="0"/>
      <w:marRight w:val="0"/>
      <w:marTop w:val="0"/>
      <w:marBottom w:val="0"/>
      <w:divBdr>
        <w:top w:val="none" w:sz="0" w:space="0" w:color="auto"/>
        <w:left w:val="none" w:sz="0" w:space="0" w:color="auto"/>
        <w:bottom w:val="none" w:sz="0" w:space="0" w:color="auto"/>
        <w:right w:val="none" w:sz="0" w:space="0" w:color="auto"/>
      </w:divBdr>
    </w:div>
    <w:div w:id="1135370466">
      <w:bodyDiv w:val="1"/>
      <w:marLeft w:val="0"/>
      <w:marRight w:val="0"/>
      <w:marTop w:val="0"/>
      <w:marBottom w:val="0"/>
      <w:divBdr>
        <w:top w:val="none" w:sz="0" w:space="0" w:color="auto"/>
        <w:left w:val="none" w:sz="0" w:space="0" w:color="auto"/>
        <w:bottom w:val="none" w:sz="0" w:space="0" w:color="auto"/>
        <w:right w:val="none" w:sz="0" w:space="0" w:color="auto"/>
      </w:divBdr>
    </w:div>
    <w:div w:id="1160579644">
      <w:bodyDiv w:val="1"/>
      <w:marLeft w:val="0"/>
      <w:marRight w:val="0"/>
      <w:marTop w:val="0"/>
      <w:marBottom w:val="0"/>
      <w:divBdr>
        <w:top w:val="none" w:sz="0" w:space="0" w:color="auto"/>
        <w:left w:val="none" w:sz="0" w:space="0" w:color="auto"/>
        <w:bottom w:val="none" w:sz="0" w:space="0" w:color="auto"/>
        <w:right w:val="none" w:sz="0" w:space="0" w:color="auto"/>
      </w:divBdr>
    </w:div>
    <w:div w:id="1265916694">
      <w:bodyDiv w:val="1"/>
      <w:marLeft w:val="0"/>
      <w:marRight w:val="0"/>
      <w:marTop w:val="0"/>
      <w:marBottom w:val="0"/>
      <w:divBdr>
        <w:top w:val="none" w:sz="0" w:space="0" w:color="auto"/>
        <w:left w:val="none" w:sz="0" w:space="0" w:color="auto"/>
        <w:bottom w:val="none" w:sz="0" w:space="0" w:color="auto"/>
        <w:right w:val="none" w:sz="0" w:space="0" w:color="auto"/>
      </w:divBdr>
    </w:div>
    <w:div w:id="1323967043">
      <w:bodyDiv w:val="1"/>
      <w:marLeft w:val="0"/>
      <w:marRight w:val="0"/>
      <w:marTop w:val="0"/>
      <w:marBottom w:val="0"/>
      <w:divBdr>
        <w:top w:val="none" w:sz="0" w:space="0" w:color="auto"/>
        <w:left w:val="none" w:sz="0" w:space="0" w:color="auto"/>
        <w:bottom w:val="none" w:sz="0" w:space="0" w:color="auto"/>
        <w:right w:val="none" w:sz="0" w:space="0" w:color="auto"/>
      </w:divBdr>
    </w:div>
    <w:div w:id="1335648293">
      <w:bodyDiv w:val="1"/>
      <w:marLeft w:val="0"/>
      <w:marRight w:val="0"/>
      <w:marTop w:val="0"/>
      <w:marBottom w:val="0"/>
      <w:divBdr>
        <w:top w:val="none" w:sz="0" w:space="0" w:color="auto"/>
        <w:left w:val="none" w:sz="0" w:space="0" w:color="auto"/>
        <w:bottom w:val="none" w:sz="0" w:space="0" w:color="auto"/>
        <w:right w:val="none" w:sz="0" w:space="0" w:color="auto"/>
      </w:divBdr>
    </w:div>
    <w:div w:id="1353990700">
      <w:bodyDiv w:val="1"/>
      <w:marLeft w:val="0"/>
      <w:marRight w:val="0"/>
      <w:marTop w:val="0"/>
      <w:marBottom w:val="0"/>
      <w:divBdr>
        <w:top w:val="none" w:sz="0" w:space="0" w:color="auto"/>
        <w:left w:val="none" w:sz="0" w:space="0" w:color="auto"/>
        <w:bottom w:val="none" w:sz="0" w:space="0" w:color="auto"/>
        <w:right w:val="none" w:sz="0" w:space="0" w:color="auto"/>
      </w:divBdr>
    </w:div>
    <w:div w:id="1385300552">
      <w:bodyDiv w:val="1"/>
      <w:marLeft w:val="0"/>
      <w:marRight w:val="0"/>
      <w:marTop w:val="0"/>
      <w:marBottom w:val="0"/>
      <w:divBdr>
        <w:top w:val="none" w:sz="0" w:space="0" w:color="auto"/>
        <w:left w:val="none" w:sz="0" w:space="0" w:color="auto"/>
        <w:bottom w:val="none" w:sz="0" w:space="0" w:color="auto"/>
        <w:right w:val="none" w:sz="0" w:space="0" w:color="auto"/>
      </w:divBdr>
    </w:div>
    <w:div w:id="1397044620">
      <w:bodyDiv w:val="1"/>
      <w:marLeft w:val="0"/>
      <w:marRight w:val="0"/>
      <w:marTop w:val="0"/>
      <w:marBottom w:val="0"/>
      <w:divBdr>
        <w:top w:val="none" w:sz="0" w:space="0" w:color="auto"/>
        <w:left w:val="none" w:sz="0" w:space="0" w:color="auto"/>
        <w:bottom w:val="none" w:sz="0" w:space="0" w:color="auto"/>
        <w:right w:val="none" w:sz="0" w:space="0" w:color="auto"/>
      </w:divBdr>
    </w:div>
    <w:div w:id="1410228087">
      <w:bodyDiv w:val="1"/>
      <w:marLeft w:val="0"/>
      <w:marRight w:val="0"/>
      <w:marTop w:val="0"/>
      <w:marBottom w:val="0"/>
      <w:divBdr>
        <w:top w:val="none" w:sz="0" w:space="0" w:color="auto"/>
        <w:left w:val="none" w:sz="0" w:space="0" w:color="auto"/>
        <w:bottom w:val="none" w:sz="0" w:space="0" w:color="auto"/>
        <w:right w:val="none" w:sz="0" w:space="0" w:color="auto"/>
      </w:divBdr>
    </w:div>
    <w:div w:id="1439714542">
      <w:bodyDiv w:val="1"/>
      <w:marLeft w:val="0"/>
      <w:marRight w:val="0"/>
      <w:marTop w:val="0"/>
      <w:marBottom w:val="0"/>
      <w:divBdr>
        <w:top w:val="none" w:sz="0" w:space="0" w:color="auto"/>
        <w:left w:val="none" w:sz="0" w:space="0" w:color="auto"/>
        <w:bottom w:val="none" w:sz="0" w:space="0" w:color="auto"/>
        <w:right w:val="none" w:sz="0" w:space="0" w:color="auto"/>
      </w:divBdr>
    </w:div>
    <w:div w:id="1521969587">
      <w:bodyDiv w:val="1"/>
      <w:marLeft w:val="0"/>
      <w:marRight w:val="0"/>
      <w:marTop w:val="0"/>
      <w:marBottom w:val="0"/>
      <w:divBdr>
        <w:top w:val="none" w:sz="0" w:space="0" w:color="auto"/>
        <w:left w:val="none" w:sz="0" w:space="0" w:color="auto"/>
        <w:bottom w:val="none" w:sz="0" w:space="0" w:color="auto"/>
        <w:right w:val="none" w:sz="0" w:space="0" w:color="auto"/>
      </w:divBdr>
    </w:div>
    <w:div w:id="1585530969">
      <w:bodyDiv w:val="1"/>
      <w:marLeft w:val="0"/>
      <w:marRight w:val="0"/>
      <w:marTop w:val="0"/>
      <w:marBottom w:val="0"/>
      <w:divBdr>
        <w:top w:val="none" w:sz="0" w:space="0" w:color="auto"/>
        <w:left w:val="none" w:sz="0" w:space="0" w:color="auto"/>
        <w:bottom w:val="none" w:sz="0" w:space="0" w:color="auto"/>
        <w:right w:val="none" w:sz="0" w:space="0" w:color="auto"/>
      </w:divBdr>
    </w:div>
    <w:div w:id="1588076910">
      <w:bodyDiv w:val="1"/>
      <w:marLeft w:val="0"/>
      <w:marRight w:val="0"/>
      <w:marTop w:val="0"/>
      <w:marBottom w:val="0"/>
      <w:divBdr>
        <w:top w:val="none" w:sz="0" w:space="0" w:color="auto"/>
        <w:left w:val="none" w:sz="0" w:space="0" w:color="auto"/>
        <w:bottom w:val="none" w:sz="0" w:space="0" w:color="auto"/>
        <w:right w:val="none" w:sz="0" w:space="0" w:color="auto"/>
      </w:divBdr>
    </w:div>
    <w:div w:id="1639215044">
      <w:bodyDiv w:val="1"/>
      <w:marLeft w:val="0"/>
      <w:marRight w:val="0"/>
      <w:marTop w:val="0"/>
      <w:marBottom w:val="0"/>
      <w:divBdr>
        <w:top w:val="none" w:sz="0" w:space="0" w:color="auto"/>
        <w:left w:val="none" w:sz="0" w:space="0" w:color="auto"/>
        <w:bottom w:val="none" w:sz="0" w:space="0" w:color="auto"/>
        <w:right w:val="none" w:sz="0" w:space="0" w:color="auto"/>
      </w:divBdr>
    </w:div>
    <w:div w:id="1681659567">
      <w:bodyDiv w:val="1"/>
      <w:marLeft w:val="0"/>
      <w:marRight w:val="0"/>
      <w:marTop w:val="0"/>
      <w:marBottom w:val="0"/>
      <w:divBdr>
        <w:top w:val="none" w:sz="0" w:space="0" w:color="auto"/>
        <w:left w:val="none" w:sz="0" w:space="0" w:color="auto"/>
        <w:bottom w:val="none" w:sz="0" w:space="0" w:color="auto"/>
        <w:right w:val="none" w:sz="0" w:space="0" w:color="auto"/>
      </w:divBdr>
    </w:div>
    <w:div w:id="1692415969">
      <w:bodyDiv w:val="1"/>
      <w:marLeft w:val="0"/>
      <w:marRight w:val="0"/>
      <w:marTop w:val="0"/>
      <w:marBottom w:val="0"/>
      <w:divBdr>
        <w:top w:val="none" w:sz="0" w:space="0" w:color="auto"/>
        <w:left w:val="none" w:sz="0" w:space="0" w:color="auto"/>
        <w:bottom w:val="none" w:sz="0" w:space="0" w:color="auto"/>
        <w:right w:val="none" w:sz="0" w:space="0" w:color="auto"/>
      </w:divBdr>
    </w:div>
    <w:div w:id="1737628479">
      <w:bodyDiv w:val="1"/>
      <w:marLeft w:val="0"/>
      <w:marRight w:val="0"/>
      <w:marTop w:val="0"/>
      <w:marBottom w:val="0"/>
      <w:divBdr>
        <w:top w:val="none" w:sz="0" w:space="0" w:color="auto"/>
        <w:left w:val="none" w:sz="0" w:space="0" w:color="auto"/>
        <w:bottom w:val="none" w:sz="0" w:space="0" w:color="auto"/>
        <w:right w:val="none" w:sz="0" w:space="0" w:color="auto"/>
      </w:divBdr>
    </w:div>
    <w:div w:id="1854613950">
      <w:bodyDiv w:val="1"/>
      <w:marLeft w:val="0"/>
      <w:marRight w:val="0"/>
      <w:marTop w:val="0"/>
      <w:marBottom w:val="0"/>
      <w:divBdr>
        <w:top w:val="none" w:sz="0" w:space="0" w:color="auto"/>
        <w:left w:val="none" w:sz="0" w:space="0" w:color="auto"/>
        <w:bottom w:val="none" w:sz="0" w:space="0" w:color="auto"/>
        <w:right w:val="none" w:sz="0" w:space="0" w:color="auto"/>
      </w:divBdr>
    </w:div>
    <w:div w:id="1881091983">
      <w:bodyDiv w:val="1"/>
      <w:marLeft w:val="0"/>
      <w:marRight w:val="0"/>
      <w:marTop w:val="0"/>
      <w:marBottom w:val="0"/>
      <w:divBdr>
        <w:top w:val="none" w:sz="0" w:space="0" w:color="auto"/>
        <w:left w:val="none" w:sz="0" w:space="0" w:color="auto"/>
        <w:bottom w:val="none" w:sz="0" w:space="0" w:color="auto"/>
        <w:right w:val="none" w:sz="0" w:space="0" w:color="auto"/>
      </w:divBdr>
      <w:divsChild>
        <w:div w:id="1674605559">
          <w:marLeft w:val="0"/>
          <w:marRight w:val="0"/>
          <w:marTop w:val="0"/>
          <w:marBottom w:val="0"/>
          <w:divBdr>
            <w:top w:val="none" w:sz="0" w:space="0" w:color="auto"/>
            <w:left w:val="none" w:sz="0" w:space="0" w:color="auto"/>
            <w:bottom w:val="none" w:sz="0" w:space="0" w:color="auto"/>
            <w:right w:val="none" w:sz="0" w:space="0" w:color="auto"/>
          </w:divBdr>
          <w:divsChild>
            <w:div w:id="1020468195">
              <w:marLeft w:val="0"/>
              <w:marRight w:val="0"/>
              <w:marTop w:val="0"/>
              <w:marBottom w:val="0"/>
              <w:divBdr>
                <w:top w:val="none" w:sz="0" w:space="0" w:color="auto"/>
                <w:left w:val="none" w:sz="0" w:space="0" w:color="auto"/>
                <w:bottom w:val="none" w:sz="0" w:space="0" w:color="auto"/>
                <w:right w:val="none" w:sz="0" w:space="0" w:color="auto"/>
              </w:divBdr>
              <w:divsChild>
                <w:div w:id="843130904">
                  <w:marLeft w:val="0"/>
                  <w:marRight w:val="0"/>
                  <w:marTop w:val="0"/>
                  <w:marBottom w:val="0"/>
                  <w:divBdr>
                    <w:top w:val="none" w:sz="0" w:space="0" w:color="auto"/>
                    <w:left w:val="none" w:sz="0" w:space="0" w:color="auto"/>
                    <w:bottom w:val="none" w:sz="0" w:space="0" w:color="auto"/>
                    <w:right w:val="none" w:sz="0" w:space="0" w:color="auto"/>
                  </w:divBdr>
                  <w:divsChild>
                    <w:div w:id="1858960647">
                      <w:marLeft w:val="0"/>
                      <w:marRight w:val="0"/>
                      <w:marTop w:val="0"/>
                      <w:marBottom w:val="0"/>
                      <w:divBdr>
                        <w:top w:val="none" w:sz="0" w:space="0" w:color="auto"/>
                        <w:left w:val="none" w:sz="0" w:space="0" w:color="auto"/>
                        <w:bottom w:val="none" w:sz="0" w:space="0" w:color="auto"/>
                        <w:right w:val="none" w:sz="0" w:space="0" w:color="auto"/>
                      </w:divBdr>
                      <w:divsChild>
                        <w:div w:id="950743066">
                          <w:marLeft w:val="0"/>
                          <w:marRight w:val="0"/>
                          <w:marTop w:val="0"/>
                          <w:marBottom w:val="0"/>
                          <w:divBdr>
                            <w:top w:val="none" w:sz="0" w:space="0" w:color="auto"/>
                            <w:left w:val="none" w:sz="0" w:space="0" w:color="auto"/>
                            <w:bottom w:val="none" w:sz="0" w:space="0" w:color="auto"/>
                            <w:right w:val="none" w:sz="0" w:space="0" w:color="auto"/>
                          </w:divBdr>
                          <w:divsChild>
                            <w:div w:id="1503276904">
                              <w:marLeft w:val="0"/>
                              <w:marRight w:val="0"/>
                              <w:marTop w:val="0"/>
                              <w:marBottom w:val="0"/>
                              <w:divBdr>
                                <w:top w:val="none" w:sz="0" w:space="0" w:color="auto"/>
                                <w:left w:val="none" w:sz="0" w:space="0" w:color="auto"/>
                                <w:bottom w:val="none" w:sz="0" w:space="0" w:color="auto"/>
                                <w:right w:val="none" w:sz="0" w:space="0" w:color="auto"/>
                              </w:divBdr>
                              <w:divsChild>
                                <w:div w:id="1903639081">
                                  <w:marLeft w:val="0"/>
                                  <w:marRight w:val="0"/>
                                  <w:marTop w:val="0"/>
                                  <w:marBottom w:val="0"/>
                                  <w:divBdr>
                                    <w:top w:val="none" w:sz="0" w:space="0" w:color="auto"/>
                                    <w:left w:val="none" w:sz="0" w:space="0" w:color="auto"/>
                                    <w:bottom w:val="none" w:sz="0" w:space="0" w:color="auto"/>
                                    <w:right w:val="none" w:sz="0" w:space="0" w:color="auto"/>
                                  </w:divBdr>
                                  <w:divsChild>
                                    <w:div w:id="575474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54438568">
      <w:bodyDiv w:val="1"/>
      <w:marLeft w:val="0"/>
      <w:marRight w:val="0"/>
      <w:marTop w:val="0"/>
      <w:marBottom w:val="0"/>
      <w:divBdr>
        <w:top w:val="none" w:sz="0" w:space="0" w:color="auto"/>
        <w:left w:val="none" w:sz="0" w:space="0" w:color="auto"/>
        <w:bottom w:val="none" w:sz="0" w:space="0" w:color="auto"/>
        <w:right w:val="none" w:sz="0" w:space="0" w:color="auto"/>
      </w:divBdr>
    </w:div>
    <w:div w:id="1954552539">
      <w:bodyDiv w:val="1"/>
      <w:marLeft w:val="0"/>
      <w:marRight w:val="0"/>
      <w:marTop w:val="0"/>
      <w:marBottom w:val="0"/>
      <w:divBdr>
        <w:top w:val="none" w:sz="0" w:space="0" w:color="auto"/>
        <w:left w:val="none" w:sz="0" w:space="0" w:color="auto"/>
        <w:bottom w:val="none" w:sz="0" w:space="0" w:color="auto"/>
        <w:right w:val="none" w:sz="0" w:space="0" w:color="auto"/>
      </w:divBdr>
      <w:divsChild>
        <w:div w:id="1432581638">
          <w:marLeft w:val="0"/>
          <w:marRight w:val="0"/>
          <w:marTop w:val="0"/>
          <w:marBottom w:val="150"/>
          <w:divBdr>
            <w:top w:val="none" w:sz="0" w:space="0" w:color="auto"/>
            <w:left w:val="none" w:sz="0" w:space="0" w:color="auto"/>
            <w:bottom w:val="none" w:sz="0" w:space="0" w:color="auto"/>
            <w:right w:val="none" w:sz="0" w:space="0" w:color="auto"/>
          </w:divBdr>
        </w:div>
      </w:divsChild>
    </w:div>
    <w:div w:id="1966811752">
      <w:bodyDiv w:val="1"/>
      <w:marLeft w:val="0"/>
      <w:marRight w:val="0"/>
      <w:marTop w:val="0"/>
      <w:marBottom w:val="0"/>
      <w:divBdr>
        <w:top w:val="none" w:sz="0" w:space="0" w:color="auto"/>
        <w:left w:val="none" w:sz="0" w:space="0" w:color="auto"/>
        <w:bottom w:val="none" w:sz="0" w:space="0" w:color="auto"/>
        <w:right w:val="none" w:sz="0" w:space="0" w:color="auto"/>
      </w:divBdr>
    </w:div>
    <w:div w:id="2013794837">
      <w:bodyDiv w:val="1"/>
      <w:marLeft w:val="0"/>
      <w:marRight w:val="0"/>
      <w:marTop w:val="0"/>
      <w:marBottom w:val="0"/>
      <w:divBdr>
        <w:top w:val="none" w:sz="0" w:space="0" w:color="auto"/>
        <w:left w:val="none" w:sz="0" w:space="0" w:color="auto"/>
        <w:bottom w:val="none" w:sz="0" w:space="0" w:color="auto"/>
        <w:right w:val="none" w:sz="0" w:space="0" w:color="auto"/>
      </w:divBdr>
    </w:div>
    <w:div w:id="2029984851">
      <w:bodyDiv w:val="1"/>
      <w:marLeft w:val="0"/>
      <w:marRight w:val="0"/>
      <w:marTop w:val="0"/>
      <w:marBottom w:val="0"/>
      <w:divBdr>
        <w:top w:val="none" w:sz="0" w:space="0" w:color="auto"/>
        <w:left w:val="none" w:sz="0" w:space="0" w:color="auto"/>
        <w:bottom w:val="none" w:sz="0" w:space="0" w:color="auto"/>
        <w:right w:val="none" w:sz="0" w:space="0" w:color="auto"/>
      </w:divBdr>
    </w:div>
    <w:div w:id="2033992622">
      <w:bodyDiv w:val="1"/>
      <w:marLeft w:val="0"/>
      <w:marRight w:val="0"/>
      <w:marTop w:val="0"/>
      <w:marBottom w:val="0"/>
      <w:divBdr>
        <w:top w:val="none" w:sz="0" w:space="0" w:color="auto"/>
        <w:left w:val="none" w:sz="0" w:space="0" w:color="auto"/>
        <w:bottom w:val="none" w:sz="0" w:space="0" w:color="auto"/>
        <w:right w:val="none" w:sz="0" w:space="0" w:color="auto"/>
      </w:divBdr>
    </w:div>
    <w:div w:id="2047094015">
      <w:bodyDiv w:val="1"/>
      <w:marLeft w:val="0"/>
      <w:marRight w:val="0"/>
      <w:marTop w:val="0"/>
      <w:marBottom w:val="0"/>
      <w:divBdr>
        <w:top w:val="none" w:sz="0" w:space="0" w:color="auto"/>
        <w:left w:val="none" w:sz="0" w:space="0" w:color="auto"/>
        <w:bottom w:val="none" w:sz="0" w:space="0" w:color="auto"/>
        <w:right w:val="none" w:sz="0" w:space="0" w:color="auto"/>
      </w:divBdr>
    </w:div>
    <w:div w:id="2085377129">
      <w:bodyDiv w:val="1"/>
      <w:marLeft w:val="0"/>
      <w:marRight w:val="0"/>
      <w:marTop w:val="0"/>
      <w:marBottom w:val="0"/>
      <w:divBdr>
        <w:top w:val="none" w:sz="0" w:space="0" w:color="auto"/>
        <w:left w:val="none" w:sz="0" w:space="0" w:color="auto"/>
        <w:bottom w:val="none" w:sz="0" w:space="0" w:color="auto"/>
        <w:right w:val="none" w:sz="0" w:space="0" w:color="auto"/>
      </w:divBdr>
    </w:div>
    <w:div w:id="2112317236">
      <w:bodyDiv w:val="1"/>
      <w:marLeft w:val="0"/>
      <w:marRight w:val="0"/>
      <w:marTop w:val="0"/>
      <w:marBottom w:val="0"/>
      <w:divBdr>
        <w:top w:val="none" w:sz="0" w:space="0" w:color="auto"/>
        <w:left w:val="none" w:sz="0" w:space="0" w:color="auto"/>
        <w:bottom w:val="none" w:sz="0" w:space="0" w:color="auto"/>
        <w:right w:val="none" w:sz="0" w:space="0" w:color="auto"/>
      </w:divBdr>
    </w:div>
    <w:div w:id="2132898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ommaso.pizzella@unina.it" TargetMode="External"/><Relationship Id="rId13" Type="http://schemas.openxmlformats.org/officeDocument/2006/relationships/hyperlink" Target="https://doi.org/10.2307/j.ctvjghwk4"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002/pad.1993"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111/padm.12209" TargetMode="External"/><Relationship Id="rId5" Type="http://schemas.openxmlformats.org/officeDocument/2006/relationships/webSettings" Target="webSettings.xml"/><Relationship Id="rId15" Type="http://schemas.openxmlformats.org/officeDocument/2006/relationships/hyperlink" Target="https://doi.org/10.1093/ooec/odad040" TargetMode="External"/><Relationship Id="rId10" Type="http://schemas.openxmlformats.org/officeDocument/2006/relationships/hyperlink" Target="https://doi.org/10.1057/9781137310118" TargetMode="External"/><Relationship Id="rId4" Type="http://schemas.openxmlformats.org/officeDocument/2006/relationships/settings" Target="settings.xml"/><Relationship Id="rId9" Type="http://schemas.openxmlformats.org/officeDocument/2006/relationships/hyperlink" Target="https://doi.org/10.1016/j.worlddev.2017.02.004" TargetMode="External"/><Relationship Id="rId14" Type="http://schemas.openxmlformats.org/officeDocument/2006/relationships/hyperlink" Target="https://doi.org/10.1080/14719037.2020.1838787"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CE9693-8BBD-41B8-9B9A-F87B494200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12065</TotalTime>
  <Pages>8</Pages>
  <Words>3572</Words>
  <Characters>20364</Characters>
  <Application>Microsoft Office Word</Application>
  <DocSecurity>0</DocSecurity>
  <Lines>169</Lines>
  <Paragraphs>47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23889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TOMMASO PIZZELLA</dc:creator>
  <cp:keywords/>
  <dc:description/>
  <cp:lastModifiedBy>TOMMASO PIZZELLA</cp:lastModifiedBy>
  <cp:revision>58</cp:revision>
  <dcterms:created xsi:type="dcterms:W3CDTF">2025-05-22T07:46:00Z</dcterms:created>
  <dcterms:modified xsi:type="dcterms:W3CDTF">2025-10-04T16:26:00Z</dcterms:modified>
</cp:coreProperties>
</file>